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835CE">
      <w:pPr>
        <w:pStyle w:val="24"/>
        <w:framePr w:wrap="around"/>
        <w:rPr>
          <w:rFonts w:hint="default"/>
        </w:rPr>
      </w:pPr>
      <w:r>
        <w:t>团体标准</w:t>
      </w:r>
    </w:p>
    <w:p w14:paraId="70C50BA8">
      <w:pPr>
        <w:pStyle w:val="36"/>
        <w:framePr w:wrap="around"/>
        <w:rPr>
          <w:rFonts w:hint="default"/>
        </w:rPr>
      </w:pPr>
      <w:r>
        <w:rPr>
          <w:rFonts w:hint="default"/>
        </w:rPr>
        <w:fldChar w:fldCharType="begin">
          <w:ffData>
            <w:name w:val="StandNo"/>
            <w:enabled/>
            <w:calcOnExit w:val="0"/>
            <w:textInput>
              <w:default w:val="T/FSS X－2025"/>
            </w:textInput>
          </w:ffData>
        </w:fldChar>
      </w:r>
      <w:bookmarkStart w:id="0" w:name="StandNo"/>
      <w:r>
        <w:rPr>
          <w:rFonts w:hint="default"/>
        </w:rPr>
        <w:instrText xml:space="preserve"> FORMTEXT </w:instrText>
      </w:r>
      <w:r>
        <w:rPr>
          <w:rFonts w:hint="default"/>
        </w:rPr>
        <w:fldChar w:fldCharType="separate"/>
      </w:r>
      <w:r>
        <w:t>T/FSS X－2025</w:t>
      </w:r>
      <w:r>
        <w:rPr>
          <w:rFonts w:hint="default"/>
        </w:rPr>
        <w:fldChar w:fldCharType="end"/>
      </w:r>
      <w:bookmarkEnd w:id="0"/>
    </w:p>
    <w:p w14:paraId="525D147B">
      <w:pPr>
        <w:pStyle w:val="35"/>
        <w:framePr w:wrap="around"/>
        <w:rPr>
          <w:rFonts w:hint="default"/>
        </w:rPr>
      </w:pPr>
      <w:r>
        <w:rPr>
          <w:rFonts w:hint="default"/>
        </w:rPr>
        <w:fldChar w:fldCharType="begin">
          <w:ffData>
            <w:name w:val="ReplaceT"/>
            <w:enabled/>
            <w:calcOnExit w:val="0"/>
            <w:textInput/>
          </w:ffData>
        </w:fldChar>
      </w:r>
      <w:bookmarkStart w:id="1" w:name="ReplaceT"/>
      <w:r>
        <w:rPr>
          <w:rFonts w:hint="default"/>
        </w:rPr>
        <w:instrText xml:space="preserve"> FORMTEXT </w:instrText>
      </w:r>
      <w:r>
        <w:rPr>
          <w:rFonts w:hint="default"/>
        </w:rPr>
        <w:fldChar w:fldCharType="separate"/>
      </w:r>
      <w:r>
        <w:rPr>
          <w:rFonts w:hint="default"/>
        </w:rPr>
        <w:t>     </w:t>
      </w:r>
      <w:r>
        <w:rPr>
          <w:rFonts w:hint="default"/>
        </w:rPr>
        <w:fldChar w:fldCharType="end"/>
      </w:r>
      <w:bookmarkEnd w:id="1"/>
    </w:p>
    <w:tbl>
      <w:tblPr>
        <w:tblStyle w:val="16"/>
        <w:tblW w:w="9739" w:type="dxa"/>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39"/>
      </w:tblGrid>
      <w:tr w14:paraId="6A3D3462">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8" w:type="dxa"/>
            <w:shd w:val="clear" w:color="auto" w:fill="auto"/>
          </w:tcPr>
          <w:p w14:paraId="57E7949D">
            <w:pPr>
              <w:pStyle w:val="30"/>
              <w:framePr w:wrap="around"/>
              <w:rPr>
                <w:rFonts w:hint="default"/>
                <w:sz w:val="10"/>
              </w:rPr>
            </w:pPr>
          </w:p>
        </w:tc>
      </w:tr>
    </w:tbl>
    <w:p w14:paraId="490F7C47">
      <w:pPr>
        <w:pStyle w:val="37"/>
        <w:framePr w:wrap="around"/>
        <w:rPr>
          <w:rFonts w:hint="default"/>
        </w:rPr>
      </w:pPr>
      <w:r>
        <w:rPr>
          <w:rFonts w:hint="default"/>
        </w:rPr>
        <w:fldChar w:fldCharType="begin">
          <w:ffData>
            <w:name w:val="StdName"/>
            <w:enabled/>
            <w:calcOnExit w:val="0"/>
            <w:textInput>
              <w:default w:val="佛山标准 船用高温甲醇燃料电堆模块"/>
            </w:textInput>
          </w:ffData>
        </w:fldChar>
      </w:r>
      <w:bookmarkStart w:id="2" w:name="StdName"/>
      <w:r>
        <w:rPr>
          <w:rFonts w:hint="default"/>
        </w:rPr>
        <w:instrText xml:space="preserve"> FORMTEXT </w:instrText>
      </w:r>
      <w:r>
        <w:rPr>
          <w:rFonts w:hint="default"/>
        </w:rPr>
        <w:fldChar w:fldCharType="separate"/>
      </w:r>
      <w:r>
        <w:t>佛山标准 船用高温甲醇燃料电堆模块</w:t>
      </w:r>
      <w:r>
        <w:rPr>
          <w:rFonts w:hint="default"/>
        </w:rPr>
        <w:fldChar w:fldCharType="end"/>
      </w:r>
      <w:bookmarkEnd w:id="2"/>
    </w:p>
    <w:p w14:paraId="721F801D">
      <w:pPr>
        <w:pStyle w:val="38"/>
        <w:framePr w:wrap="around"/>
        <w:rPr>
          <w:rFonts w:hint="default"/>
        </w:rPr>
      </w:pPr>
      <w:r>
        <w:rPr>
          <w:rFonts w:hint="default"/>
        </w:rPr>
        <w:fldChar w:fldCharType="begin">
          <w:ffData>
            <w:name w:val="StdEnglishName"/>
            <w:enabled/>
            <w:calcOnExit w:val="0"/>
            <w:textInput>
              <w:default w:val="点击此处添加标准英文译名"/>
            </w:textInput>
          </w:ffData>
        </w:fldChar>
      </w:r>
      <w:bookmarkStart w:id="3" w:name="StdEnglishName"/>
      <w:r>
        <w:rPr>
          <w:rFonts w:hint="default"/>
        </w:rPr>
        <w:instrText xml:space="preserve"> FORMTEXT </w:instrText>
      </w:r>
      <w:r>
        <w:rPr>
          <w:rFonts w:hint="default"/>
        </w:rPr>
        <w:fldChar w:fldCharType="separate"/>
      </w:r>
      <w:r>
        <w:t xml:space="preserve">Foshan standard High-temperature proton exchange membrane fuel cell module </w:t>
      </w:r>
      <w:r>
        <w:rPr>
          <w:rFonts w:hint="default"/>
        </w:rPr>
        <w:fldChar w:fldCharType="end"/>
      </w:r>
      <w:bookmarkEnd w:id="3"/>
    </w:p>
    <w:p w14:paraId="3D82CDF3">
      <w:pPr>
        <w:pStyle w:val="39"/>
        <w:framePr w:wrap="around"/>
        <w:rPr>
          <w:rFonts w:hint="default"/>
        </w:rPr>
      </w:pPr>
      <w:bookmarkStart w:id="4" w:name="YZBS"/>
      <w:r>
        <w:rPr>
          <w:rFonts w:hint="default"/>
        </w:rPr>
        <w:fldChar w:fldCharType="begin">
          <w:ffData>
            <w:name w:val="YZBS"/>
            <w:enabled/>
            <w:calcOnExit w:val="0"/>
            <w:textInput/>
          </w:ffData>
        </w:fldChar>
      </w:r>
      <w:r>
        <w:rPr>
          <w:rFonts w:hint="default"/>
        </w:rPr>
        <w:instrText xml:space="preserve">FORMTEXT</w:instrText>
      </w:r>
      <w:r>
        <w:rPr>
          <w:rFonts w:hint="default"/>
        </w:rPr>
        <w:fldChar w:fldCharType="separate"/>
      </w:r>
      <w:r>
        <w:rPr>
          <w:rFonts w:hint="default"/>
        </w:rPr>
        <w:t>     </w:t>
      </w:r>
      <w:r>
        <w:rPr>
          <w:rFonts w:hint="default"/>
        </w:rPr>
        <w:fldChar w:fldCharType="end"/>
      </w:r>
      <w:bookmarkEnd w:id="4"/>
    </w:p>
    <w:p w14:paraId="5E23AF07">
      <w:pPr>
        <w:pStyle w:val="40"/>
        <w:framePr w:wrap="around"/>
        <w:spacing w:after="0"/>
      </w:pPr>
      <w:r>
        <w:fldChar w:fldCharType="begin">
          <w:ffData>
            <w:name w:val="LB"/>
            <w:enabled/>
            <w:calcOnExit w:val="0"/>
            <w:ddList>
              <w:result w:val="3"/>
              <w:default w:val="2"/>
              <w:listEntry w:val="     "/>
              <w:listEntry w:val="草案版次选择"/>
              <w:listEntry w:val="（工作组讨论稿）"/>
              <w:listEntry w:val="（征求意见稿）"/>
              <w:listEntry w:val="（送审讨论稿）"/>
              <w:listEntry w:val="（送审稿）"/>
              <w:listEntry w:val="（报批稿）"/>
            </w:ddList>
          </w:ffData>
        </w:fldChar>
      </w:r>
      <w:bookmarkStart w:id="5" w:name="LB"/>
      <w:r>
        <w:instrText xml:space="preserve"> FORMDROPDOWN </w:instrText>
      </w:r>
      <w:r>
        <w:fldChar w:fldCharType="separate"/>
      </w:r>
      <w:r>
        <w:fldChar w:fldCharType="end"/>
      </w:r>
      <w:bookmarkEnd w:id="5"/>
    </w:p>
    <w:p w14:paraId="19FE91E3">
      <w:pPr>
        <w:pStyle w:val="41"/>
        <w:framePr w:wrap="around"/>
        <w:spacing w:before="100"/>
      </w:pPr>
      <w:r>
        <w:fldChar w:fldCharType="begin">
          <w:ffData>
            <w:name w:val="WCRQ"/>
            <w:enabled/>
            <w:calcOnExit w:val="0"/>
            <w:textInput/>
          </w:ffData>
        </w:fldChar>
      </w:r>
      <w:bookmarkStart w:id="6" w:name="WCRQ"/>
      <w:r>
        <w:instrText xml:space="preserve"> FORMTEXT </w:instrText>
      </w:r>
      <w:r>
        <w:fldChar w:fldCharType="separate"/>
      </w:r>
      <w:r>
        <w:rPr>
          <w:rFonts w:hint="default"/>
        </w:rPr>
        <w:t>     </w:t>
      </w:r>
      <w:r>
        <w:fldChar w:fldCharType="end"/>
      </w:r>
      <w:bookmarkEnd w:id="6"/>
    </w:p>
    <w:p w14:paraId="562F6BFC">
      <w:pPr>
        <w:pStyle w:val="42"/>
        <w:framePr w:wrap="around"/>
        <w:spacing w:before="686" w:beforeLines="220" w:after="93"/>
        <w:rPr>
          <w:rFonts w:hint="default"/>
        </w:rPr>
      </w:pPr>
      <w:r>
        <w:rPr>
          <w:rFonts w:hint="default"/>
        </w:rPr>
        <w:fldChar w:fldCharType="begin">
          <w:ffData>
            <w:name w:val="FileSelect"/>
            <w:enabled/>
            <w:calcOnExit w:val="0"/>
            <w:ddList>
              <w:result w:val="1"/>
              <w:default w:val="1"/>
              <w:listEntry w:val="     "/>
              <w:listEntry w:val="在提交反馈意见时，请将您知道的相关专利连同支持性文件一并附上。"/>
            </w:ddList>
          </w:ffData>
        </w:fldChar>
      </w:r>
      <w:bookmarkStart w:id="7" w:name="FileSelect"/>
      <w:r>
        <w:rPr>
          <w:rFonts w:hint="default"/>
        </w:rPr>
        <w:instrText xml:space="preserve"> </w:instrText>
      </w:r>
      <w:r>
        <w:instrText xml:space="preserve">FORMDROPDOWN</w:instrText>
      </w:r>
      <w:r>
        <w:rPr>
          <w:rFonts w:hint="default"/>
        </w:rPr>
        <w:instrText xml:space="preserve"> </w:instrText>
      </w:r>
      <w:r>
        <w:rPr>
          <w:rFonts w:hint="default"/>
        </w:rPr>
        <w:fldChar w:fldCharType="separate"/>
      </w:r>
      <w:r>
        <w:rPr>
          <w:rFonts w:hint="default"/>
        </w:rPr>
        <w:fldChar w:fldCharType="end"/>
      </w:r>
      <w:bookmarkEnd w:id="7"/>
    </w:p>
    <w:tbl>
      <w:tblPr>
        <w:tblStyle w:val="16"/>
        <w:tblW w:w="9739" w:type="dxa"/>
        <w:tblInd w:w="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69"/>
      </w:tblGrid>
      <w:tr w14:paraId="409EEF71">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shd w:val="clear" w:color="auto" w:fill="auto"/>
            <w:tcMar>
              <w:left w:w="57" w:type="dxa"/>
              <w:bottom w:w="28" w:type="dxa"/>
            </w:tcMar>
          </w:tcPr>
          <w:p w14:paraId="744E7710">
            <w:pPr>
              <w:pStyle w:val="34"/>
              <w:framePr w:wrap="around"/>
              <w:rPr>
                <w:rFonts w:hint="default"/>
              </w:rPr>
            </w:pPr>
            <w:r>
              <w:rPr>
                <w:rFonts w:hint="default"/>
              </w:rPr>
              <w:fldChar w:fldCharType="begin">
                <w:ffData>
                  <w:name w:val="FY"/>
                  <w:enabled/>
                  <w:calcOnExit w:val="0"/>
                  <w:textInput>
                    <w:default w:val="XXXX"/>
                    <w:maxLength w:val="4"/>
                  </w:textInput>
                </w:ffData>
              </w:fldChar>
            </w:r>
            <w:bookmarkStart w:id="8" w:name="FY"/>
            <w:r>
              <w:rPr>
                <w:rFonts w:hint="default"/>
              </w:rPr>
              <w:instrText xml:space="preserve"> FORMTEXT </w:instrText>
            </w:r>
            <w:r>
              <w:rPr>
                <w:rFonts w:hint="default"/>
              </w:rPr>
              <w:fldChar w:fldCharType="separate"/>
            </w:r>
            <w:r>
              <w:t>2025</w:t>
            </w:r>
            <w:r>
              <w:rPr>
                <w:rFonts w:hint="default"/>
              </w:rPr>
              <w:fldChar w:fldCharType="end"/>
            </w:r>
            <w:bookmarkEnd w:id="8"/>
            <w:r>
              <w:rPr>
                <w:rFonts w:hint="default"/>
              </w:rPr>
              <w:t xml:space="preserve"> - </w:t>
            </w:r>
            <w:r>
              <w:rPr>
                <w:rFonts w:hint="default"/>
              </w:rPr>
              <w:fldChar w:fldCharType="begin">
                <w:ffData>
                  <w:name w:val="FM"/>
                  <w:enabled/>
                  <w:calcOnExit w:val="0"/>
                  <w:textInput>
                    <w:default w:val="XX"/>
                    <w:maxLength w:val="2"/>
                  </w:textInput>
                </w:ffData>
              </w:fldChar>
            </w:r>
            <w:bookmarkStart w:id="9" w:name="FM"/>
            <w:r>
              <w:rPr>
                <w:rFonts w:hint="default"/>
              </w:rPr>
              <w:instrText xml:space="preserve"> FORMTEXT </w:instrText>
            </w:r>
            <w:r>
              <w:rPr>
                <w:rFonts w:hint="default"/>
              </w:rPr>
              <w:fldChar w:fldCharType="separate"/>
            </w:r>
            <w:r>
              <w:t>06</w:t>
            </w:r>
            <w:r>
              <w:rPr>
                <w:rFonts w:hint="default"/>
              </w:rPr>
              <w:fldChar w:fldCharType="end"/>
            </w:r>
            <w:bookmarkEnd w:id="9"/>
            <w:r>
              <w:rPr>
                <w:rFonts w:hint="default"/>
              </w:rPr>
              <w:t xml:space="preserve"> - </w:t>
            </w:r>
            <w:r>
              <w:rPr>
                <w:rFonts w:hint="default"/>
              </w:rPr>
              <w:fldChar w:fldCharType="begin">
                <w:ffData>
                  <w:name w:val="FD"/>
                  <w:enabled/>
                  <w:calcOnExit w:val="0"/>
                  <w:textInput>
                    <w:default w:val="XX"/>
                    <w:maxLength w:val="2"/>
                  </w:textInput>
                </w:ffData>
              </w:fldChar>
            </w:r>
            <w:bookmarkStart w:id="10" w:name="FD"/>
            <w:r>
              <w:rPr>
                <w:rFonts w:hint="default"/>
              </w:rPr>
              <w:instrText xml:space="preserve"> FORMTEXT </w:instrText>
            </w:r>
            <w:r>
              <w:rPr>
                <w:rFonts w:hint="default"/>
              </w:rPr>
              <w:fldChar w:fldCharType="separate"/>
            </w:r>
            <w:r>
              <w:rPr>
                <w:rFonts w:hint="default"/>
              </w:rPr>
              <w:t>XX</w:t>
            </w:r>
            <w:r>
              <w:rPr>
                <w:rFonts w:hint="default"/>
              </w:rPr>
              <w:fldChar w:fldCharType="end"/>
            </w:r>
            <w:bookmarkEnd w:id="10"/>
            <w:r>
              <w:t xml:space="preserve"> 发布</w:t>
            </w:r>
          </w:p>
        </w:tc>
        <w:tc>
          <w:tcPr>
            <w:tcW w:w="4944" w:type="dxa"/>
            <w:shd w:val="clear" w:color="auto" w:fill="auto"/>
            <w:tcMar>
              <w:right w:w="57" w:type="dxa"/>
            </w:tcMar>
          </w:tcPr>
          <w:p w14:paraId="013A9CD3">
            <w:pPr>
              <w:pStyle w:val="34"/>
              <w:framePr w:wrap="around"/>
              <w:jc w:val="right"/>
              <w:rPr>
                <w:rFonts w:hint="default"/>
              </w:rPr>
            </w:pPr>
            <w:r>
              <w:rPr>
                <w:rFonts w:hint="default"/>
              </w:rPr>
              <w:fldChar w:fldCharType="begin">
                <w:ffData>
                  <w:name w:val="SY"/>
                  <w:enabled/>
                  <w:calcOnExit w:val="0"/>
                  <w:textInput>
                    <w:default w:val="XXXX"/>
                    <w:maxLength w:val="4"/>
                  </w:textInput>
                </w:ffData>
              </w:fldChar>
            </w:r>
            <w:bookmarkStart w:id="11" w:name="SY"/>
            <w:r>
              <w:rPr>
                <w:rFonts w:hint="default"/>
              </w:rPr>
              <w:instrText xml:space="preserve"> FORMTEXT </w:instrText>
            </w:r>
            <w:r>
              <w:rPr>
                <w:rFonts w:hint="default"/>
              </w:rPr>
              <w:fldChar w:fldCharType="separate"/>
            </w:r>
            <w:r>
              <w:t>2025</w:t>
            </w:r>
            <w:r>
              <w:rPr>
                <w:rFonts w:hint="default"/>
              </w:rPr>
              <w:fldChar w:fldCharType="end"/>
            </w:r>
            <w:bookmarkEnd w:id="11"/>
            <w:r>
              <w:rPr>
                <w:rFonts w:hint="default"/>
              </w:rPr>
              <w:t xml:space="preserve"> - </w:t>
            </w:r>
            <w:r>
              <w:rPr>
                <w:rFonts w:hint="default"/>
              </w:rPr>
              <w:fldChar w:fldCharType="begin">
                <w:ffData>
                  <w:name w:val="SM"/>
                  <w:enabled/>
                  <w:calcOnExit w:val="0"/>
                  <w:textInput>
                    <w:default w:val="XX"/>
                    <w:maxLength w:val="2"/>
                  </w:textInput>
                </w:ffData>
              </w:fldChar>
            </w:r>
            <w:bookmarkStart w:id="12" w:name="SM"/>
            <w:r>
              <w:rPr>
                <w:rFonts w:hint="default"/>
              </w:rPr>
              <w:instrText xml:space="preserve"> FORMTEXT </w:instrText>
            </w:r>
            <w:r>
              <w:rPr>
                <w:rFonts w:hint="default"/>
              </w:rPr>
              <w:fldChar w:fldCharType="separate"/>
            </w:r>
            <w:r>
              <w:t>06</w:t>
            </w:r>
            <w:r>
              <w:rPr>
                <w:rFonts w:hint="default"/>
              </w:rPr>
              <w:fldChar w:fldCharType="end"/>
            </w:r>
            <w:bookmarkEnd w:id="12"/>
            <w:r>
              <w:rPr>
                <w:rFonts w:hint="default"/>
              </w:rPr>
              <w:t xml:space="preserve"> - </w:t>
            </w:r>
            <w:r>
              <w:rPr>
                <w:rFonts w:hint="default"/>
              </w:rPr>
              <w:fldChar w:fldCharType="begin">
                <w:ffData>
                  <w:name w:val="SD"/>
                  <w:enabled/>
                  <w:calcOnExit w:val="0"/>
                  <w:textInput>
                    <w:default w:val="XX"/>
                    <w:maxLength w:val="2"/>
                  </w:textInput>
                </w:ffData>
              </w:fldChar>
            </w:r>
            <w:bookmarkStart w:id="13" w:name="SD"/>
            <w:r>
              <w:rPr>
                <w:rFonts w:hint="default"/>
              </w:rPr>
              <w:instrText xml:space="preserve"> FORMTEXT </w:instrText>
            </w:r>
            <w:r>
              <w:rPr>
                <w:rFonts w:hint="default"/>
              </w:rPr>
              <w:fldChar w:fldCharType="separate"/>
            </w:r>
            <w:r>
              <w:rPr>
                <w:rFonts w:hint="default"/>
              </w:rPr>
              <w:t>XX</w:t>
            </w:r>
            <w:r>
              <w:rPr>
                <w:rFonts w:hint="default"/>
              </w:rPr>
              <w:fldChar w:fldCharType="end"/>
            </w:r>
            <w:bookmarkEnd w:id="13"/>
            <w:r>
              <w:t xml:space="preserve"> 实施</w:t>
            </w:r>
          </w:p>
        </w:tc>
      </w:tr>
    </w:tbl>
    <w:p w14:paraId="2C54A303">
      <w:pPr>
        <w:pStyle w:val="44"/>
        <w:framePr w:wrap="around"/>
      </w:pPr>
      <w:r>
        <w:fldChar w:fldCharType="begin">
          <w:ffData>
            <w:name w:val="FM2"/>
            <w:enabled/>
            <w:calcOnExit w:val="0"/>
            <w:textInput/>
          </w:ffData>
        </w:fldChar>
      </w:r>
      <w:bookmarkStart w:id="14" w:name="FM2"/>
      <w:r>
        <w:instrText xml:space="preserve"> FORMTEXT </w:instrText>
      </w:r>
      <w:r>
        <w:fldChar w:fldCharType="separate"/>
      </w:r>
      <w:r>
        <w:t>佛山市佛山标准和卓越绩效管理促进会</w:t>
      </w:r>
      <w:r>
        <w:fldChar w:fldCharType="end"/>
      </w:r>
      <w:bookmarkEnd w:id="14"/>
      <w:r>
        <w:rPr>
          <w:rFonts w:hint="default"/>
        </w:rPr>
        <w:t>  </w:t>
      </w:r>
      <w:r>
        <w:rPr>
          <w:spacing w:val="85"/>
        </w:rPr>
        <w:t>发</w:t>
      </w:r>
      <w:r>
        <w:t>布</w:t>
      </w:r>
    </w:p>
    <w:tbl>
      <w:tblPr>
        <w:tblStyle w:val="16"/>
        <w:tblW w:w="9571" w:type="dxa"/>
        <w:tblInd w:w="0" w:type="dxa"/>
        <w:tblLayout w:type="fixed"/>
        <w:tblCellMar>
          <w:top w:w="0" w:type="dxa"/>
          <w:left w:w="0" w:type="dxa"/>
          <w:bottom w:w="0" w:type="dxa"/>
          <w:right w:w="0" w:type="dxa"/>
        </w:tblCellMar>
      </w:tblPr>
      <w:tblGrid>
        <w:gridCol w:w="463"/>
        <w:gridCol w:w="9108"/>
      </w:tblGrid>
      <w:tr w14:paraId="1BF17397">
        <w:tblPrEx>
          <w:tblCellMar>
            <w:top w:w="0" w:type="dxa"/>
            <w:left w:w="0" w:type="dxa"/>
            <w:bottom w:w="0" w:type="dxa"/>
            <w:right w:w="0" w:type="dxa"/>
          </w:tblCellMar>
        </w:tblPrEx>
        <w:tc>
          <w:tcPr>
            <w:tcW w:w="463" w:type="dxa"/>
            <w:shd w:val="clear" w:color="auto" w:fill="auto"/>
          </w:tcPr>
          <w:p w14:paraId="45FE6AAE">
            <w:pPr>
              <w:pStyle w:val="48"/>
              <w:framePr w:wrap="around"/>
              <w:rPr>
                <w:rFonts w:hint="default"/>
              </w:rPr>
            </w:pPr>
            <w:r>
              <w:rPr>
                <w:rFonts w:hint="default"/>
              </w:rPr>
              <w:t>ICS</w:t>
            </w:r>
          </w:p>
        </w:tc>
        <w:tc>
          <w:tcPr>
            <w:tcW w:w="9108" w:type="dxa"/>
            <w:shd w:val="clear" w:color="auto" w:fill="auto"/>
          </w:tcPr>
          <w:p w14:paraId="4C4F5EB7">
            <w:pPr>
              <w:pStyle w:val="48"/>
              <w:framePr w:wrap="around"/>
              <w:rPr>
                <w:rFonts w:hint="default"/>
              </w:rPr>
            </w:pPr>
            <w:r>
              <w:rPr>
                <w:rFonts w:hint="default"/>
              </w:rPr>
              <w:fldChar w:fldCharType="begin">
                <w:ffData>
                  <w:name w:val="ICS"/>
                  <w:enabled/>
                  <w:calcOnExit w:val="0"/>
                  <w:textInput>
                    <w:default w:val="点击此处添加ICS号"/>
                  </w:textInput>
                </w:ffData>
              </w:fldChar>
            </w:r>
            <w:bookmarkStart w:id="15" w:name="ICS"/>
            <w:r>
              <w:rPr>
                <w:rFonts w:hint="default"/>
              </w:rPr>
              <w:instrText xml:space="preserve"> FORMTEXT </w:instrText>
            </w:r>
            <w:r>
              <w:rPr>
                <w:rFonts w:hint="default"/>
              </w:rPr>
              <w:fldChar w:fldCharType="separate"/>
            </w:r>
            <w:r>
              <w:t>91.100.25</w:t>
            </w:r>
            <w:r>
              <w:rPr>
                <w:rFonts w:hint="default"/>
              </w:rPr>
              <w:fldChar w:fldCharType="end"/>
            </w:r>
            <w:bookmarkEnd w:id="15"/>
          </w:p>
        </w:tc>
      </w:tr>
      <w:tr w14:paraId="5E04CCDE">
        <w:tblPrEx>
          <w:tblCellMar>
            <w:top w:w="0" w:type="dxa"/>
            <w:left w:w="0" w:type="dxa"/>
            <w:bottom w:w="0" w:type="dxa"/>
            <w:right w:w="0" w:type="dxa"/>
          </w:tblCellMar>
        </w:tblPrEx>
        <w:tc>
          <w:tcPr>
            <w:tcW w:w="463" w:type="dxa"/>
            <w:shd w:val="clear" w:color="auto" w:fill="auto"/>
          </w:tcPr>
          <w:p w14:paraId="18EC2AEB">
            <w:pPr>
              <w:pStyle w:val="48"/>
              <w:framePr w:wrap="around"/>
              <w:rPr>
                <w:rFonts w:hint="default"/>
              </w:rPr>
            </w:pPr>
            <w:r>
              <w:rPr>
                <w:rFonts w:hint="default"/>
              </w:rPr>
              <w:t>CCS</w:t>
            </w:r>
          </w:p>
        </w:tc>
        <w:tc>
          <w:tcPr>
            <w:tcW w:w="9108" w:type="dxa"/>
            <w:shd w:val="clear" w:color="auto" w:fill="auto"/>
          </w:tcPr>
          <w:p w14:paraId="373742A7">
            <w:pPr>
              <w:pStyle w:val="48"/>
              <w:framePr w:wrap="around"/>
              <w:rPr>
                <w:rFonts w:hint="default"/>
              </w:rPr>
            </w:pPr>
            <w:r>
              <w:rPr>
                <w:rFonts w:hint="default"/>
              </w:rPr>
              <w:fldChar w:fldCharType="begin">
                <w:ffData>
                  <w:name w:val="CCS"/>
                  <w:enabled/>
                  <w:calcOnExit w:val="0"/>
                  <w:textInput>
                    <w:default w:val="点击此处添加CCS号"/>
                  </w:textInput>
                </w:ffData>
              </w:fldChar>
            </w:r>
            <w:bookmarkStart w:id="16" w:name="CCS"/>
            <w:r>
              <w:rPr>
                <w:rFonts w:hint="default"/>
              </w:rPr>
              <w:instrText xml:space="preserve"> FORMTEXT </w:instrText>
            </w:r>
            <w:r>
              <w:rPr>
                <w:rFonts w:hint="default"/>
              </w:rPr>
              <w:fldChar w:fldCharType="separate"/>
            </w:r>
            <w:r>
              <w:t>Q 31</w:t>
            </w:r>
            <w:r>
              <w:rPr>
                <w:rFonts w:hint="default"/>
              </w:rPr>
              <w:fldChar w:fldCharType="end"/>
            </w:r>
            <w:bookmarkEnd w:id="16"/>
          </w:p>
        </w:tc>
      </w:tr>
    </w:tbl>
    <w:p w14:paraId="7934566F">
      <w:pPr>
        <w:pStyle w:val="48"/>
        <w:framePr w:wrap="around"/>
        <w:rPr>
          <w:rFonts w:hint="default"/>
        </w:rPr>
        <w:sectPr>
          <w:headerReference r:id="rId3" w:type="even"/>
          <w:footerReference r:id="rId4" w:type="even"/>
          <w:pgSz w:w="11906" w:h="16838"/>
          <w:pgMar w:top="-340" w:right="1134" w:bottom="1020" w:left="1134" w:header="0" w:footer="0" w:gutter="283"/>
          <w:pgNumType w:start="1"/>
          <w:cols w:space="425" w:num="1"/>
          <w:docGrid w:type="lines" w:linePitch="312" w:charSpace="0"/>
        </w:sectPr>
      </w:pPr>
    </w:p>
    <w:p w14:paraId="67E4CED7">
      <w:pPr>
        <w:pStyle w:val="49"/>
        <w:spacing w:after="468"/>
        <w:rPr>
          <w:rFonts w:hint="default"/>
        </w:rPr>
      </w:pPr>
      <w:r>
        <w:rPr>
          <w:spacing w:val="317"/>
        </w:rPr>
        <w:t>目</w:t>
      </w:r>
      <w:bookmarkStart w:id="17" w:name="BKML"/>
      <w:r>
        <w:t>次</w:t>
      </w:r>
      <w:bookmarkEnd w:id="17"/>
    </w:p>
    <w:p w14:paraId="177BA729">
      <w:pPr>
        <w:pStyle w:val="13"/>
        <w:tabs>
          <w:tab w:val="right" w:leader="dot" w:pos="9345"/>
        </w:tabs>
        <w:rPr>
          <w:rFonts w:asciiTheme="minorHAnsi" w:hAnsiTheme="minorHAnsi" w:eastAsiaTheme="minorEastAsia" w:cstheme="minorBidi"/>
          <w:sz w:val="22"/>
          <w14:ligatures w14:val="standardContextual"/>
        </w:rPr>
      </w:pPr>
      <w:r>
        <w:rPr>
          <w:rFonts w:hint="default" w:hAnsi="宋体"/>
        </w:rPr>
        <w:fldChar w:fldCharType="begin"/>
      </w:r>
      <w:r>
        <w:rPr>
          <w:rFonts w:hint="default" w:hAnsi="宋体"/>
        </w:rPr>
        <w:instrText xml:space="preserve"> TOC TOC  \h \z \t "标准文件_前言、引言标题,1,标准文件_章标题,1,标准文件_附录标识,1,标准文件_参考文献标题,1,标准文件_索引标题,1,标准文件_一级条标题,2"  \* MERGEFORMAT </w:instrText>
      </w:r>
      <w:r>
        <w:rPr>
          <w:rFonts w:hint="default" w:hAnsi="宋体"/>
        </w:rPr>
        <w:fldChar w:fldCharType="separate"/>
      </w:r>
      <w:r>
        <w:fldChar w:fldCharType="begin"/>
      </w:r>
      <w:r>
        <w:instrText xml:space="preserve"> HYPERLINK \l "_Toc201066961" </w:instrText>
      </w:r>
      <w:r>
        <w:fldChar w:fldCharType="separate"/>
      </w:r>
      <w:r>
        <w:rPr>
          <w:rStyle w:val="18"/>
          <w:spacing w:val="317"/>
        </w:rPr>
        <w:t>前</w:t>
      </w:r>
      <w:r>
        <w:rPr>
          <w:rStyle w:val="18"/>
        </w:rPr>
        <w:t>言</w:t>
      </w:r>
      <w:r>
        <w:tab/>
      </w:r>
      <w:r>
        <w:fldChar w:fldCharType="begin"/>
      </w:r>
      <w:r>
        <w:instrText xml:space="preserve"> PAGEREF _Toc201066961 \h </w:instrText>
      </w:r>
      <w:r>
        <w:fldChar w:fldCharType="separate"/>
      </w:r>
      <w:r>
        <w:rPr>
          <w:rFonts w:hint="default"/>
        </w:rPr>
        <w:t>III</w:t>
      </w:r>
      <w:r>
        <w:fldChar w:fldCharType="end"/>
      </w:r>
      <w:r>
        <w:fldChar w:fldCharType="end"/>
      </w:r>
    </w:p>
    <w:p w14:paraId="7DC8889D">
      <w:pPr>
        <w:pStyle w:val="13"/>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"_Toc201066962" </w:instrText>
      </w:r>
      <w:r>
        <w:fldChar w:fldCharType="separate"/>
      </w:r>
      <w:r>
        <w:rPr>
          <w:rStyle w:val="18"/>
          <w:spacing w:val="317"/>
        </w:rPr>
        <w:t>引</w:t>
      </w:r>
      <w:r>
        <w:rPr>
          <w:rStyle w:val="18"/>
        </w:rPr>
        <w:t>言</w:t>
      </w:r>
      <w:r>
        <w:tab/>
      </w:r>
      <w:r>
        <w:fldChar w:fldCharType="begin"/>
      </w:r>
      <w:r>
        <w:instrText xml:space="preserve"> PAGEREF _Toc201066962 \h </w:instrText>
      </w:r>
      <w:r>
        <w:fldChar w:fldCharType="separate"/>
      </w:r>
      <w:r>
        <w:rPr>
          <w:rFonts w:hint="default"/>
        </w:rPr>
        <w:t>IV</w:t>
      </w:r>
      <w:r>
        <w:fldChar w:fldCharType="end"/>
      </w:r>
      <w:r>
        <w:fldChar w:fldCharType="end"/>
      </w:r>
    </w:p>
    <w:p w14:paraId="112DDC22">
      <w:pPr>
        <w:pStyle w:val="13"/>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"_Toc201066963" </w:instrText>
      </w:r>
      <w:r>
        <w:fldChar w:fldCharType="separate"/>
      </w:r>
      <w:r>
        <w:rPr>
          <w:rStyle w:val="18"/>
          <w:rFonts w:hAnsi="黑体"/>
        </w:rPr>
        <w:t>1</w:t>
      </w:r>
      <w:r>
        <w:rPr>
          <w:rStyle w:val="18"/>
        </w:rPr>
        <w:t xml:space="preserve"> 范围</w:t>
      </w:r>
      <w:r>
        <w:tab/>
      </w:r>
      <w:r>
        <w:fldChar w:fldCharType="begin"/>
      </w:r>
      <w:r>
        <w:instrText xml:space="preserve"> PAGEREF _Toc201066963 \h </w:instrText>
      </w:r>
      <w:r>
        <w:fldChar w:fldCharType="separate"/>
      </w:r>
      <w:r>
        <w:rPr>
          <w:rFonts w:hint="default"/>
        </w:rPr>
        <w:t>1</w:t>
      </w:r>
      <w:r>
        <w:fldChar w:fldCharType="end"/>
      </w:r>
      <w:r>
        <w:fldChar w:fldCharType="end"/>
      </w:r>
    </w:p>
    <w:p w14:paraId="2762C9D0">
      <w:pPr>
        <w:pStyle w:val="13"/>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"_Toc201066964" </w:instrText>
      </w:r>
      <w:r>
        <w:fldChar w:fldCharType="separate"/>
      </w:r>
      <w:r>
        <w:rPr>
          <w:rStyle w:val="18"/>
          <w:rFonts w:hAnsi="黑体"/>
        </w:rPr>
        <w:t>2</w:t>
      </w:r>
      <w:r>
        <w:rPr>
          <w:rStyle w:val="18"/>
        </w:rPr>
        <w:t xml:space="preserve"> 规范性引用文件</w:t>
      </w:r>
      <w:r>
        <w:tab/>
      </w:r>
      <w:r>
        <w:fldChar w:fldCharType="begin"/>
      </w:r>
      <w:r>
        <w:instrText xml:space="preserve"> PAGEREF _Toc201066964 \h </w:instrText>
      </w:r>
      <w:r>
        <w:fldChar w:fldCharType="separate"/>
      </w:r>
      <w:r>
        <w:rPr>
          <w:rFonts w:hint="default"/>
        </w:rPr>
        <w:t>1</w:t>
      </w:r>
      <w:r>
        <w:fldChar w:fldCharType="end"/>
      </w:r>
      <w:r>
        <w:fldChar w:fldCharType="end"/>
      </w:r>
    </w:p>
    <w:p w14:paraId="13E4F2A7">
      <w:pPr>
        <w:pStyle w:val="13"/>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"_Toc201066965" </w:instrText>
      </w:r>
      <w:r>
        <w:fldChar w:fldCharType="separate"/>
      </w:r>
      <w:r>
        <w:rPr>
          <w:rStyle w:val="18"/>
          <w:rFonts w:hAnsi="黑体"/>
        </w:rPr>
        <w:t>3</w:t>
      </w:r>
      <w:r>
        <w:rPr>
          <w:rStyle w:val="18"/>
        </w:rPr>
        <w:t xml:space="preserve"> 术语和定义</w:t>
      </w:r>
      <w:r>
        <w:tab/>
      </w:r>
      <w:r>
        <w:fldChar w:fldCharType="begin"/>
      </w:r>
      <w:r>
        <w:instrText xml:space="preserve"> PAGEREF _Toc201066965 \h </w:instrText>
      </w:r>
      <w:r>
        <w:fldChar w:fldCharType="separate"/>
      </w:r>
      <w:r>
        <w:rPr>
          <w:rFonts w:hint="default"/>
        </w:rPr>
        <w:t>2</w:t>
      </w:r>
      <w:r>
        <w:fldChar w:fldCharType="end"/>
      </w:r>
      <w:r>
        <w:fldChar w:fldCharType="end"/>
      </w:r>
    </w:p>
    <w:p w14:paraId="513DAC16">
      <w:pPr>
        <w:pStyle w:val="13"/>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"_Toc201066966" </w:instrText>
      </w:r>
      <w:r>
        <w:fldChar w:fldCharType="separate"/>
      </w:r>
      <w:r>
        <w:rPr>
          <w:rStyle w:val="18"/>
          <w:rFonts w:hAnsi="黑体"/>
        </w:rPr>
        <w:t>4</w:t>
      </w:r>
      <w:r>
        <w:rPr>
          <w:rStyle w:val="18"/>
        </w:rPr>
        <w:t xml:space="preserve"> 要求</w:t>
      </w:r>
      <w:r>
        <w:tab/>
      </w:r>
      <w:r>
        <w:fldChar w:fldCharType="begin"/>
      </w:r>
      <w:r>
        <w:instrText xml:space="preserve"> PAGEREF _Toc201066966 \h </w:instrText>
      </w:r>
      <w:r>
        <w:fldChar w:fldCharType="separate"/>
      </w:r>
      <w:r>
        <w:rPr>
          <w:rFonts w:hint="default"/>
        </w:rPr>
        <w:t>2</w:t>
      </w:r>
      <w:r>
        <w:fldChar w:fldCharType="end"/>
      </w:r>
      <w:r>
        <w:fldChar w:fldCharType="end"/>
      </w:r>
    </w:p>
    <w:p w14:paraId="45FFA368">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"_Toc201066967" </w:instrText>
      </w:r>
      <w:r>
        <w:fldChar w:fldCharType="separate"/>
      </w:r>
      <w:r>
        <w:rPr>
          <w:rStyle w:val="18"/>
          <w:rFonts w:hAnsi="黑体"/>
        </w:rPr>
        <w:t>4.1</w:t>
      </w:r>
      <w:r>
        <w:rPr>
          <w:rStyle w:val="18"/>
        </w:rPr>
        <w:t xml:space="preserve"> 通用安全策略</w:t>
      </w:r>
      <w:r>
        <w:tab/>
      </w:r>
      <w:r>
        <w:fldChar w:fldCharType="begin"/>
      </w:r>
      <w:r>
        <w:instrText xml:space="preserve"> PAGEREF _Toc201066967 \h </w:instrText>
      </w:r>
      <w:r>
        <w:fldChar w:fldCharType="separate"/>
      </w:r>
      <w:r>
        <w:rPr>
          <w:rFonts w:hint="default"/>
        </w:rPr>
        <w:t>2</w:t>
      </w:r>
      <w:r>
        <w:fldChar w:fldCharType="end"/>
      </w:r>
      <w:r>
        <w:fldChar w:fldCharType="end"/>
      </w:r>
    </w:p>
    <w:p w14:paraId="7B2C9755">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"_Toc201066968" </w:instrText>
      </w:r>
      <w:r>
        <w:fldChar w:fldCharType="separate"/>
      </w:r>
      <w:r>
        <w:rPr>
          <w:rStyle w:val="18"/>
          <w:rFonts w:hAnsi="黑体"/>
        </w:rPr>
        <w:t>4.2</w:t>
      </w:r>
      <w:r>
        <w:rPr>
          <w:rStyle w:val="18"/>
        </w:rPr>
        <w:t xml:space="preserve"> 设计要求</w:t>
      </w:r>
      <w:r>
        <w:tab/>
      </w:r>
      <w:r>
        <w:fldChar w:fldCharType="begin"/>
      </w:r>
      <w:r>
        <w:instrText xml:space="preserve"> PAGEREF _Toc201066968 \h </w:instrText>
      </w:r>
      <w:r>
        <w:fldChar w:fldCharType="separate"/>
      </w:r>
      <w:r>
        <w:rPr>
          <w:rFonts w:hint="default"/>
        </w:rPr>
        <w:t>3</w:t>
      </w:r>
      <w:r>
        <w:fldChar w:fldCharType="end"/>
      </w:r>
      <w:r>
        <w:fldChar w:fldCharType="end"/>
      </w:r>
    </w:p>
    <w:p w14:paraId="78B68DD0">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"_Toc201066969" </w:instrText>
      </w:r>
      <w:r>
        <w:fldChar w:fldCharType="separate"/>
      </w:r>
      <w:r>
        <w:rPr>
          <w:rStyle w:val="18"/>
          <w:rFonts w:hAnsi="黑体"/>
        </w:rPr>
        <w:t>4.3</w:t>
      </w:r>
      <w:r>
        <w:rPr>
          <w:rStyle w:val="18"/>
        </w:rPr>
        <w:t xml:space="preserve"> 船舶规范要求</w:t>
      </w:r>
      <w:r>
        <w:tab/>
      </w:r>
      <w:r>
        <w:fldChar w:fldCharType="begin"/>
      </w:r>
      <w:r>
        <w:instrText xml:space="preserve"> PAGEREF _Toc201066969 \h </w:instrText>
      </w:r>
      <w:r>
        <w:fldChar w:fldCharType="separate"/>
      </w:r>
      <w:r>
        <w:rPr>
          <w:rFonts w:hint="default"/>
        </w:rPr>
        <w:t>7</w:t>
      </w:r>
      <w:r>
        <w:fldChar w:fldCharType="end"/>
      </w:r>
      <w:r>
        <w:fldChar w:fldCharType="end"/>
      </w:r>
    </w:p>
    <w:p w14:paraId="0E6B612C">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"_Toc201066970" </w:instrText>
      </w:r>
      <w:r>
        <w:fldChar w:fldCharType="separate"/>
      </w:r>
      <w:r>
        <w:rPr>
          <w:rStyle w:val="18"/>
          <w:rFonts w:hAnsi="黑体"/>
        </w:rPr>
        <w:t>4.4</w:t>
      </w:r>
      <w:r>
        <w:rPr>
          <w:rStyle w:val="18"/>
        </w:rPr>
        <w:t xml:space="preserve"> 技术指标要求</w:t>
      </w:r>
      <w:r>
        <w:tab/>
      </w:r>
      <w:r>
        <w:fldChar w:fldCharType="begin"/>
      </w:r>
      <w:r>
        <w:instrText xml:space="preserve"> PAGEREF _Toc201066970 \h </w:instrText>
      </w:r>
      <w:r>
        <w:fldChar w:fldCharType="separate"/>
      </w:r>
      <w:r>
        <w:rPr>
          <w:rFonts w:hint="default"/>
        </w:rPr>
        <w:t>8</w:t>
      </w:r>
      <w:r>
        <w:fldChar w:fldCharType="end"/>
      </w:r>
      <w:r>
        <w:fldChar w:fldCharType="end"/>
      </w:r>
    </w:p>
    <w:p w14:paraId="487B8B28">
      <w:pPr>
        <w:pStyle w:val="13"/>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"_Toc201066971" </w:instrText>
      </w:r>
      <w:r>
        <w:fldChar w:fldCharType="separate"/>
      </w:r>
      <w:r>
        <w:rPr>
          <w:rStyle w:val="18"/>
          <w:rFonts w:hAnsi="黑体"/>
        </w:rPr>
        <w:t>5</w:t>
      </w:r>
      <w:r>
        <w:rPr>
          <w:rStyle w:val="18"/>
        </w:rPr>
        <w:t xml:space="preserve"> 试验方法</w:t>
      </w:r>
      <w:r>
        <w:tab/>
      </w:r>
      <w:r>
        <w:fldChar w:fldCharType="begin"/>
      </w:r>
      <w:r>
        <w:instrText xml:space="preserve"> PAGEREF _Toc201066971 \h </w:instrText>
      </w:r>
      <w:r>
        <w:fldChar w:fldCharType="separate"/>
      </w:r>
      <w:r>
        <w:rPr>
          <w:rFonts w:hint="default"/>
        </w:rPr>
        <w:t>10</w:t>
      </w:r>
      <w:r>
        <w:fldChar w:fldCharType="end"/>
      </w:r>
      <w:r>
        <w:fldChar w:fldCharType="end"/>
      </w:r>
    </w:p>
    <w:p w14:paraId="469663E2">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"_Toc201066972" </w:instrText>
      </w:r>
      <w:r>
        <w:fldChar w:fldCharType="separate"/>
      </w:r>
      <w:r>
        <w:rPr>
          <w:rStyle w:val="18"/>
          <w:rFonts w:hAnsi="黑体"/>
        </w:rPr>
        <w:t>5.1</w:t>
      </w:r>
      <w:r>
        <w:rPr>
          <w:rStyle w:val="18"/>
        </w:rPr>
        <w:t xml:space="preserve"> 通则</w:t>
      </w:r>
      <w:r>
        <w:tab/>
      </w:r>
      <w:r>
        <w:fldChar w:fldCharType="begin"/>
      </w:r>
      <w:r>
        <w:instrText xml:space="preserve"> PAGEREF _Toc201066972 \h </w:instrText>
      </w:r>
      <w:r>
        <w:fldChar w:fldCharType="separate"/>
      </w:r>
      <w:r>
        <w:rPr>
          <w:rFonts w:hint="default"/>
        </w:rPr>
        <w:t>10</w:t>
      </w:r>
      <w:r>
        <w:fldChar w:fldCharType="end"/>
      </w:r>
      <w:r>
        <w:fldChar w:fldCharType="end"/>
      </w:r>
    </w:p>
    <w:p w14:paraId="1282B397">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"_Toc201066973" </w:instrText>
      </w:r>
      <w:r>
        <w:fldChar w:fldCharType="separate"/>
      </w:r>
      <w:r>
        <w:rPr>
          <w:rStyle w:val="18"/>
          <w:rFonts w:hAnsi="黑体"/>
        </w:rPr>
        <w:t>5.2</w:t>
      </w:r>
      <w:r>
        <w:rPr>
          <w:rStyle w:val="18"/>
        </w:rPr>
        <w:t xml:space="preserve"> 外观检查</w:t>
      </w:r>
      <w:r>
        <w:tab/>
      </w:r>
      <w:r>
        <w:fldChar w:fldCharType="begin"/>
      </w:r>
      <w:r>
        <w:instrText xml:space="preserve"> PAGEREF _Toc201066973 \h </w:instrText>
      </w:r>
      <w:r>
        <w:fldChar w:fldCharType="separate"/>
      </w:r>
      <w:r>
        <w:rPr>
          <w:rFonts w:hint="default"/>
        </w:rPr>
        <w:t>10</w:t>
      </w:r>
      <w:r>
        <w:fldChar w:fldCharType="end"/>
      </w:r>
      <w:r>
        <w:fldChar w:fldCharType="end"/>
      </w:r>
    </w:p>
    <w:p w14:paraId="3B305D34">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"_Toc201066974" </w:instrText>
      </w:r>
      <w:r>
        <w:fldChar w:fldCharType="separate"/>
      </w:r>
      <w:r>
        <w:rPr>
          <w:rStyle w:val="18"/>
          <w:rFonts w:hAnsi="黑体"/>
        </w:rPr>
        <w:t>5.3</w:t>
      </w:r>
      <w:r>
        <w:rPr>
          <w:rStyle w:val="18"/>
        </w:rPr>
        <w:t xml:space="preserve"> 冲击与振动试验</w:t>
      </w:r>
      <w:r>
        <w:tab/>
      </w:r>
      <w:r>
        <w:fldChar w:fldCharType="begin"/>
      </w:r>
      <w:r>
        <w:instrText xml:space="preserve"> PAGEREF _Toc201066974 \h </w:instrText>
      </w:r>
      <w:r>
        <w:fldChar w:fldCharType="separate"/>
      </w:r>
      <w:r>
        <w:rPr>
          <w:rFonts w:hint="default"/>
        </w:rPr>
        <w:t>10</w:t>
      </w:r>
      <w:r>
        <w:fldChar w:fldCharType="end"/>
      </w:r>
      <w:r>
        <w:fldChar w:fldCharType="end"/>
      </w:r>
    </w:p>
    <w:p w14:paraId="49747A51">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"_Toc201066975" </w:instrText>
      </w:r>
      <w:r>
        <w:fldChar w:fldCharType="separate"/>
      </w:r>
      <w:r>
        <w:rPr>
          <w:rStyle w:val="18"/>
          <w:rFonts w:hAnsi="黑体"/>
        </w:rPr>
        <w:t>5.4</w:t>
      </w:r>
      <w:r>
        <w:rPr>
          <w:rStyle w:val="18"/>
        </w:rPr>
        <w:t xml:space="preserve"> 气体泄漏试验</w:t>
      </w:r>
      <w:r>
        <w:tab/>
      </w:r>
      <w:r>
        <w:fldChar w:fldCharType="begin"/>
      </w:r>
      <w:r>
        <w:instrText xml:space="preserve"> PAGEREF _Toc201066975 \h </w:instrText>
      </w:r>
      <w:r>
        <w:fldChar w:fldCharType="separate"/>
      </w:r>
      <w:r>
        <w:rPr>
          <w:rFonts w:hint="default"/>
        </w:rPr>
        <w:t>10</w:t>
      </w:r>
      <w:r>
        <w:fldChar w:fldCharType="end"/>
      </w:r>
      <w:r>
        <w:fldChar w:fldCharType="end"/>
      </w:r>
    </w:p>
    <w:p w14:paraId="14855AE2">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"_Toc201066976" </w:instrText>
      </w:r>
      <w:r>
        <w:fldChar w:fldCharType="separate"/>
      </w:r>
      <w:r>
        <w:rPr>
          <w:rStyle w:val="18"/>
          <w:rFonts w:hAnsi="黑体"/>
        </w:rPr>
        <w:t>5.5</w:t>
      </w:r>
      <w:r>
        <w:rPr>
          <w:rStyle w:val="18"/>
        </w:rPr>
        <w:t xml:space="preserve"> 正常运行试验</w:t>
      </w:r>
      <w:r>
        <w:tab/>
      </w:r>
      <w:r>
        <w:fldChar w:fldCharType="begin"/>
      </w:r>
      <w:r>
        <w:instrText xml:space="preserve"> PAGEREF _Toc201066976 \h </w:instrText>
      </w:r>
      <w:r>
        <w:fldChar w:fldCharType="separate"/>
      </w:r>
      <w:r>
        <w:rPr>
          <w:rFonts w:hint="default"/>
        </w:rPr>
        <w:t>10</w:t>
      </w:r>
      <w:r>
        <w:fldChar w:fldCharType="end"/>
      </w:r>
      <w:r>
        <w:fldChar w:fldCharType="end"/>
      </w:r>
    </w:p>
    <w:p w14:paraId="5AFC4154">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"_Toc201066977" </w:instrText>
      </w:r>
      <w:r>
        <w:fldChar w:fldCharType="separate"/>
      </w:r>
      <w:r>
        <w:rPr>
          <w:rStyle w:val="18"/>
          <w:rFonts w:hAnsi="黑体"/>
        </w:rPr>
        <w:t>5.6</w:t>
      </w:r>
      <w:r>
        <w:rPr>
          <w:rStyle w:val="18"/>
        </w:rPr>
        <w:t xml:space="preserve"> 许可工作压力试验</w:t>
      </w:r>
      <w:r>
        <w:tab/>
      </w:r>
      <w:r>
        <w:fldChar w:fldCharType="begin"/>
      </w:r>
      <w:r>
        <w:instrText xml:space="preserve"> PAGEREF _Toc201066977 \h </w:instrText>
      </w:r>
      <w:r>
        <w:fldChar w:fldCharType="separate"/>
      </w:r>
      <w:r>
        <w:rPr>
          <w:rFonts w:hint="default"/>
        </w:rPr>
        <w:t>10</w:t>
      </w:r>
      <w:r>
        <w:fldChar w:fldCharType="end"/>
      </w:r>
      <w:r>
        <w:fldChar w:fldCharType="end"/>
      </w:r>
    </w:p>
    <w:p w14:paraId="1A631A52">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"_Toc201066978" </w:instrText>
      </w:r>
      <w:r>
        <w:fldChar w:fldCharType="separate"/>
      </w:r>
      <w:r>
        <w:rPr>
          <w:rStyle w:val="18"/>
          <w:rFonts w:hAnsi="黑体"/>
        </w:rPr>
        <w:t>5.7</w:t>
      </w:r>
      <w:r>
        <w:rPr>
          <w:rStyle w:val="18"/>
        </w:rPr>
        <w:t xml:space="preserve"> 冷却系统耐压试验</w:t>
      </w:r>
      <w:r>
        <w:tab/>
      </w:r>
      <w:r>
        <w:fldChar w:fldCharType="begin"/>
      </w:r>
      <w:r>
        <w:instrText xml:space="preserve"> PAGEREF _Toc201066978 \h </w:instrText>
      </w:r>
      <w:r>
        <w:fldChar w:fldCharType="separate"/>
      </w:r>
      <w:r>
        <w:rPr>
          <w:rFonts w:hint="default"/>
        </w:rPr>
        <w:t>11</w:t>
      </w:r>
      <w:r>
        <w:fldChar w:fldCharType="end"/>
      </w:r>
      <w:r>
        <w:fldChar w:fldCharType="end"/>
      </w:r>
    </w:p>
    <w:p w14:paraId="66F5775B">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"_Toc201066979" </w:instrText>
      </w:r>
      <w:r>
        <w:fldChar w:fldCharType="separate"/>
      </w:r>
      <w:r>
        <w:rPr>
          <w:rStyle w:val="18"/>
          <w:rFonts w:hAnsi="黑体"/>
        </w:rPr>
        <w:t>5.8</w:t>
      </w:r>
      <w:r>
        <w:rPr>
          <w:rStyle w:val="18"/>
        </w:rPr>
        <w:t xml:space="preserve"> 持续或短时电功率试验</w:t>
      </w:r>
      <w:r>
        <w:tab/>
      </w:r>
      <w:r>
        <w:fldChar w:fldCharType="begin"/>
      </w:r>
      <w:r>
        <w:instrText xml:space="preserve"> PAGEREF _Toc201066979 \h </w:instrText>
      </w:r>
      <w:r>
        <w:fldChar w:fldCharType="separate"/>
      </w:r>
      <w:r>
        <w:rPr>
          <w:rFonts w:hint="default"/>
        </w:rPr>
        <w:t>11</w:t>
      </w:r>
      <w:r>
        <w:fldChar w:fldCharType="end"/>
      </w:r>
      <w:r>
        <w:fldChar w:fldCharType="end"/>
      </w:r>
    </w:p>
    <w:p w14:paraId="71F0C768">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"_Toc201066980" </w:instrText>
      </w:r>
      <w:r>
        <w:fldChar w:fldCharType="separate"/>
      </w:r>
      <w:r>
        <w:rPr>
          <w:rStyle w:val="18"/>
          <w:rFonts w:hAnsi="黑体"/>
        </w:rPr>
        <w:t>5.9</w:t>
      </w:r>
      <w:r>
        <w:rPr>
          <w:rStyle w:val="18"/>
        </w:rPr>
        <w:t xml:space="preserve"> 过压试验</w:t>
      </w:r>
      <w:r>
        <w:tab/>
      </w:r>
      <w:r>
        <w:fldChar w:fldCharType="begin"/>
      </w:r>
      <w:r>
        <w:instrText xml:space="preserve"> PAGEREF _Toc201066980 \h </w:instrText>
      </w:r>
      <w:r>
        <w:fldChar w:fldCharType="separate"/>
      </w:r>
      <w:r>
        <w:rPr>
          <w:rFonts w:hint="default"/>
        </w:rPr>
        <w:t>11</w:t>
      </w:r>
      <w:r>
        <w:fldChar w:fldCharType="end"/>
      </w:r>
      <w:r>
        <w:fldChar w:fldCharType="end"/>
      </w:r>
    </w:p>
    <w:p w14:paraId="3D1EC975">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"_Toc201066981" </w:instrText>
      </w:r>
      <w:r>
        <w:fldChar w:fldCharType="separate"/>
      </w:r>
      <w:r>
        <w:rPr>
          <w:rStyle w:val="18"/>
          <w:rFonts w:hAnsi="黑体"/>
        </w:rPr>
        <w:t>5.10</w:t>
      </w:r>
      <w:r>
        <w:rPr>
          <w:rStyle w:val="18"/>
        </w:rPr>
        <w:t xml:space="preserve"> 绝缘强度试验</w:t>
      </w:r>
      <w:r>
        <w:tab/>
      </w:r>
      <w:r>
        <w:fldChar w:fldCharType="begin"/>
      </w:r>
      <w:r>
        <w:instrText xml:space="preserve"> PAGEREF _Toc201066981 \h </w:instrText>
      </w:r>
      <w:r>
        <w:fldChar w:fldCharType="separate"/>
      </w:r>
      <w:r>
        <w:rPr>
          <w:rFonts w:hint="default"/>
        </w:rPr>
        <w:t>11</w:t>
      </w:r>
      <w:r>
        <w:fldChar w:fldCharType="end"/>
      </w:r>
      <w:r>
        <w:fldChar w:fldCharType="end"/>
      </w:r>
    </w:p>
    <w:p w14:paraId="61235DE6">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"_Toc201066982" </w:instrText>
      </w:r>
      <w:r>
        <w:fldChar w:fldCharType="separate"/>
      </w:r>
      <w:r>
        <w:rPr>
          <w:rStyle w:val="18"/>
          <w:rFonts w:hAnsi="黑体"/>
        </w:rPr>
        <w:t>5.11</w:t>
      </w:r>
      <w:r>
        <w:rPr>
          <w:rStyle w:val="18"/>
        </w:rPr>
        <w:t xml:space="preserve"> 绝缘（静态）试验</w:t>
      </w:r>
      <w:r>
        <w:tab/>
      </w:r>
      <w:r>
        <w:fldChar w:fldCharType="begin"/>
      </w:r>
      <w:r>
        <w:instrText xml:space="preserve"> PAGEREF _Toc201066982 \h </w:instrText>
      </w:r>
      <w:r>
        <w:fldChar w:fldCharType="separate"/>
      </w:r>
      <w:r>
        <w:rPr>
          <w:rFonts w:hint="default"/>
        </w:rPr>
        <w:t>11</w:t>
      </w:r>
      <w:r>
        <w:fldChar w:fldCharType="end"/>
      </w:r>
      <w:r>
        <w:fldChar w:fldCharType="end"/>
      </w:r>
    </w:p>
    <w:p w14:paraId="24D63CF0">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"_Toc201066983" </w:instrText>
      </w:r>
      <w:r>
        <w:fldChar w:fldCharType="separate"/>
      </w:r>
      <w:r>
        <w:rPr>
          <w:rStyle w:val="18"/>
          <w:rFonts w:hAnsi="黑体"/>
        </w:rPr>
        <w:t>5.12</w:t>
      </w:r>
      <w:r>
        <w:rPr>
          <w:rStyle w:val="18"/>
        </w:rPr>
        <w:t xml:space="preserve"> 气体内窜试验</w:t>
      </w:r>
      <w:r>
        <w:tab/>
      </w:r>
      <w:r>
        <w:fldChar w:fldCharType="begin"/>
      </w:r>
      <w:r>
        <w:instrText xml:space="preserve"> PAGEREF _Toc201066983 \h </w:instrText>
      </w:r>
      <w:r>
        <w:fldChar w:fldCharType="separate"/>
      </w:r>
      <w:r>
        <w:rPr>
          <w:rFonts w:hint="default"/>
        </w:rPr>
        <w:t>11</w:t>
      </w:r>
      <w:r>
        <w:fldChar w:fldCharType="end"/>
      </w:r>
      <w:r>
        <w:fldChar w:fldCharType="end"/>
      </w:r>
    </w:p>
    <w:p w14:paraId="49EC8ABE">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"_Toc201066984" </w:instrText>
      </w:r>
      <w:r>
        <w:fldChar w:fldCharType="separate"/>
      </w:r>
      <w:r>
        <w:rPr>
          <w:rStyle w:val="18"/>
          <w:rFonts w:hAnsi="黑体"/>
        </w:rPr>
        <w:t>5.13</w:t>
      </w:r>
      <w:r>
        <w:rPr>
          <w:rStyle w:val="18"/>
        </w:rPr>
        <w:t xml:space="preserve"> 压差试验</w:t>
      </w:r>
      <w:r>
        <w:tab/>
      </w:r>
      <w:r>
        <w:fldChar w:fldCharType="begin"/>
      </w:r>
      <w:r>
        <w:instrText xml:space="preserve"> PAGEREF _Toc201066984 \h </w:instrText>
      </w:r>
      <w:r>
        <w:fldChar w:fldCharType="separate"/>
      </w:r>
      <w:r>
        <w:rPr>
          <w:rFonts w:hint="default"/>
        </w:rPr>
        <w:t>11</w:t>
      </w:r>
      <w:r>
        <w:fldChar w:fldCharType="end"/>
      </w:r>
      <w:r>
        <w:fldChar w:fldCharType="end"/>
      </w:r>
    </w:p>
    <w:p w14:paraId="129386C6">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"_Toc201066985" </w:instrText>
      </w:r>
      <w:r>
        <w:fldChar w:fldCharType="separate"/>
      </w:r>
      <w:r>
        <w:rPr>
          <w:rStyle w:val="18"/>
          <w:rFonts w:hAnsi="黑体"/>
        </w:rPr>
        <w:t>5.14</w:t>
      </w:r>
      <w:r>
        <w:rPr>
          <w:rStyle w:val="18"/>
        </w:rPr>
        <w:t xml:space="preserve"> 可燃气体浓度试验</w:t>
      </w:r>
      <w:r>
        <w:tab/>
      </w:r>
      <w:r>
        <w:fldChar w:fldCharType="begin"/>
      </w:r>
      <w:r>
        <w:instrText xml:space="preserve"> PAGEREF _Toc201066985 \h </w:instrText>
      </w:r>
      <w:r>
        <w:fldChar w:fldCharType="separate"/>
      </w:r>
      <w:r>
        <w:rPr>
          <w:rFonts w:hint="default"/>
        </w:rPr>
        <w:t>11</w:t>
      </w:r>
      <w:r>
        <w:fldChar w:fldCharType="end"/>
      </w:r>
      <w:r>
        <w:fldChar w:fldCharType="end"/>
      </w:r>
    </w:p>
    <w:p w14:paraId="40A6150C">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"_Toc201066986" </w:instrText>
      </w:r>
      <w:r>
        <w:fldChar w:fldCharType="separate"/>
      </w:r>
      <w:r>
        <w:rPr>
          <w:rStyle w:val="18"/>
          <w:rFonts w:hAnsi="黑体"/>
        </w:rPr>
        <w:t>5.15</w:t>
      </w:r>
      <w:r>
        <w:rPr>
          <w:rStyle w:val="18"/>
        </w:rPr>
        <w:t xml:space="preserve"> 非正常条件试验</w:t>
      </w:r>
      <w:r>
        <w:tab/>
      </w:r>
      <w:r>
        <w:fldChar w:fldCharType="begin"/>
      </w:r>
      <w:r>
        <w:instrText xml:space="preserve"> PAGEREF _Toc201066986 \h </w:instrText>
      </w:r>
      <w:r>
        <w:fldChar w:fldCharType="separate"/>
      </w:r>
      <w:r>
        <w:rPr>
          <w:rFonts w:hint="default"/>
        </w:rPr>
        <w:t>12</w:t>
      </w:r>
      <w:r>
        <w:fldChar w:fldCharType="end"/>
      </w:r>
      <w:r>
        <w:fldChar w:fldCharType="end"/>
      </w:r>
    </w:p>
    <w:p w14:paraId="3E825343">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"_Toc201066987" </w:instrText>
      </w:r>
      <w:r>
        <w:fldChar w:fldCharType="separate"/>
      </w:r>
      <w:r>
        <w:rPr>
          <w:rStyle w:val="18"/>
          <w:rFonts w:hAnsi="黑体"/>
        </w:rPr>
        <w:t>5.16</w:t>
      </w:r>
      <w:r>
        <w:rPr>
          <w:rStyle w:val="18"/>
        </w:rPr>
        <w:t xml:space="preserve"> 环境适应性</w:t>
      </w:r>
      <w:r>
        <w:tab/>
      </w:r>
      <w:r>
        <w:fldChar w:fldCharType="begin"/>
      </w:r>
      <w:r>
        <w:instrText xml:space="preserve"> PAGEREF _Toc201066987 \h </w:instrText>
      </w:r>
      <w:r>
        <w:fldChar w:fldCharType="separate"/>
      </w:r>
      <w:r>
        <w:rPr>
          <w:rFonts w:hint="default"/>
        </w:rPr>
        <w:t>12</w:t>
      </w:r>
      <w:r>
        <w:fldChar w:fldCharType="end"/>
      </w:r>
      <w:r>
        <w:fldChar w:fldCharType="end"/>
      </w:r>
    </w:p>
    <w:p w14:paraId="28C10C61">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"_Toc201066988" </w:instrText>
      </w:r>
      <w:r>
        <w:fldChar w:fldCharType="separate"/>
      </w:r>
      <w:r>
        <w:rPr>
          <w:rStyle w:val="18"/>
          <w:rFonts w:hAnsi="黑体"/>
        </w:rPr>
        <w:t>5.17</w:t>
      </w:r>
      <w:r>
        <w:rPr>
          <w:rStyle w:val="18"/>
        </w:rPr>
        <w:t xml:space="preserve"> 外壳防护试验</w:t>
      </w:r>
      <w:r>
        <w:tab/>
      </w:r>
      <w:r>
        <w:fldChar w:fldCharType="begin"/>
      </w:r>
      <w:r>
        <w:instrText xml:space="preserve"> PAGEREF _Toc201066988 \h </w:instrText>
      </w:r>
      <w:r>
        <w:fldChar w:fldCharType="separate"/>
      </w:r>
      <w:r>
        <w:rPr>
          <w:rFonts w:hint="default"/>
        </w:rPr>
        <w:t>13</w:t>
      </w:r>
      <w:r>
        <w:fldChar w:fldCharType="end"/>
      </w:r>
      <w:r>
        <w:fldChar w:fldCharType="end"/>
      </w:r>
    </w:p>
    <w:p w14:paraId="1104B351">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"_Toc201066989" </w:instrText>
      </w:r>
      <w:r>
        <w:fldChar w:fldCharType="separate"/>
      </w:r>
      <w:r>
        <w:rPr>
          <w:rStyle w:val="18"/>
          <w:rFonts w:hAnsi="黑体"/>
        </w:rPr>
        <w:t>5.18</w:t>
      </w:r>
      <w:r>
        <w:rPr>
          <w:rStyle w:val="18"/>
        </w:rPr>
        <w:t xml:space="preserve"> 电磁兼容性试验</w:t>
      </w:r>
      <w:r>
        <w:tab/>
      </w:r>
      <w:r>
        <w:fldChar w:fldCharType="begin"/>
      </w:r>
      <w:r>
        <w:instrText xml:space="preserve"> PAGEREF _Toc201066989 \h </w:instrText>
      </w:r>
      <w:r>
        <w:fldChar w:fldCharType="separate"/>
      </w:r>
      <w:r>
        <w:rPr>
          <w:rFonts w:hint="default"/>
        </w:rPr>
        <w:t>13</w:t>
      </w:r>
      <w:r>
        <w:fldChar w:fldCharType="end"/>
      </w:r>
      <w:r>
        <w:fldChar w:fldCharType="end"/>
      </w:r>
    </w:p>
    <w:p w14:paraId="7C5FE83D">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"_Toc201066990" </w:instrText>
      </w:r>
      <w:r>
        <w:fldChar w:fldCharType="separate"/>
      </w:r>
      <w:r>
        <w:rPr>
          <w:rStyle w:val="18"/>
          <w:rFonts w:hAnsi="黑体"/>
          <w:kern w:val="21"/>
        </w:rPr>
        <w:t>5.19</w:t>
      </w:r>
      <w:r>
        <w:rPr>
          <w:rStyle w:val="18"/>
          <w:kern w:val="21"/>
        </w:rPr>
        <w:t xml:space="preserve"> 滞燃试验</w:t>
      </w:r>
      <w:r>
        <w:tab/>
      </w:r>
      <w:r>
        <w:fldChar w:fldCharType="begin"/>
      </w:r>
      <w:r>
        <w:instrText xml:space="preserve"> PAGEREF _Toc201066990 \h </w:instrText>
      </w:r>
      <w:r>
        <w:fldChar w:fldCharType="separate"/>
      </w:r>
      <w:r>
        <w:rPr>
          <w:rFonts w:hint="default"/>
        </w:rPr>
        <w:t>13</w:t>
      </w:r>
      <w:r>
        <w:fldChar w:fldCharType="end"/>
      </w:r>
      <w:r>
        <w:fldChar w:fldCharType="end"/>
      </w:r>
    </w:p>
    <w:p w14:paraId="065D66BF">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"_Toc201066991" </w:instrText>
      </w:r>
      <w:r>
        <w:fldChar w:fldCharType="separate"/>
      </w:r>
      <w:r>
        <w:rPr>
          <w:rStyle w:val="18"/>
          <w:rFonts w:hAnsi="黑体"/>
          <w:kern w:val="21"/>
        </w:rPr>
        <w:t>5.20</w:t>
      </w:r>
      <w:r>
        <w:rPr>
          <w:rStyle w:val="18"/>
          <w:kern w:val="21"/>
        </w:rPr>
        <w:t xml:space="preserve"> 无石棉检测</w:t>
      </w:r>
      <w:r>
        <w:tab/>
      </w:r>
      <w:r>
        <w:fldChar w:fldCharType="begin"/>
      </w:r>
      <w:r>
        <w:instrText xml:space="preserve"> PAGEREF _Toc201066991 \h </w:instrText>
      </w:r>
      <w:r>
        <w:fldChar w:fldCharType="separate"/>
      </w:r>
      <w:r>
        <w:rPr>
          <w:rFonts w:hint="default"/>
        </w:rPr>
        <w:t>14</w:t>
      </w:r>
      <w:r>
        <w:fldChar w:fldCharType="end"/>
      </w:r>
      <w:r>
        <w:fldChar w:fldCharType="end"/>
      </w:r>
    </w:p>
    <w:p w14:paraId="483B6728">
      <w:pPr>
        <w:pStyle w:val="13"/>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"_Toc201066992" </w:instrText>
      </w:r>
      <w:r>
        <w:fldChar w:fldCharType="separate"/>
      </w:r>
      <w:r>
        <w:rPr>
          <w:rStyle w:val="18"/>
          <w:rFonts w:hAnsi="黑体"/>
        </w:rPr>
        <w:t>6</w:t>
      </w:r>
      <w:r>
        <w:rPr>
          <w:rStyle w:val="18"/>
        </w:rPr>
        <w:t xml:space="preserve"> 检验规则</w:t>
      </w:r>
      <w:r>
        <w:tab/>
      </w:r>
      <w:r>
        <w:fldChar w:fldCharType="begin"/>
      </w:r>
      <w:r>
        <w:instrText xml:space="preserve"> PAGEREF _Toc201066992 \h </w:instrText>
      </w:r>
      <w:r>
        <w:fldChar w:fldCharType="separate"/>
      </w:r>
      <w:r>
        <w:rPr>
          <w:rFonts w:hint="default"/>
        </w:rPr>
        <w:t>14</w:t>
      </w:r>
      <w:r>
        <w:fldChar w:fldCharType="end"/>
      </w:r>
      <w:r>
        <w:fldChar w:fldCharType="end"/>
      </w:r>
    </w:p>
    <w:p w14:paraId="29F14518">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"_Toc201066993" </w:instrText>
      </w:r>
      <w:r>
        <w:fldChar w:fldCharType="separate"/>
      </w:r>
      <w:r>
        <w:rPr>
          <w:rStyle w:val="18"/>
          <w:rFonts w:hAnsi="黑体"/>
        </w:rPr>
        <w:t>6.1</w:t>
      </w:r>
      <w:r>
        <w:rPr>
          <w:rStyle w:val="18"/>
        </w:rPr>
        <w:t xml:space="preserve"> 通用规则</w:t>
      </w:r>
      <w:r>
        <w:tab/>
      </w:r>
      <w:r>
        <w:fldChar w:fldCharType="begin"/>
      </w:r>
      <w:r>
        <w:instrText xml:space="preserve"> PAGEREF _Toc201066993 \h </w:instrText>
      </w:r>
      <w:r>
        <w:fldChar w:fldCharType="separate"/>
      </w:r>
      <w:r>
        <w:rPr>
          <w:rFonts w:hint="default"/>
        </w:rPr>
        <w:t>14</w:t>
      </w:r>
      <w:r>
        <w:fldChar w:fldCharType="end"/>
      </w:r>
      <w:r>
        <w:fldChar w:fldCharType="end"/>
      </w:r>
    </w:p>
    <w:p w14:paraId="27F48236">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"_Toc201066994" </w:instrText>
      </w:r>
      <w:r>
        <w:fldChar w:fldCharType="separate"/>
      </w:r>
      <w:r>
        <w:rPr>
          <w:rStyle w:val="18"/>
          <w:rFonts w:hAnsi="黑体"/>
        </w:rPr>
        <w:t>6.2</w:t>
      </w:r>
      <w:r>
        <w:rPr>
          <w:rStyle w:val="18"/>
        </w:rPr>
        <w:t xml:space="preserve"> 型式试验规则</w:t>
      </w:r>
      <w:r>
        <w:tab/>
      </w:r>
      <w:r>
        <w:fldChar w:fldCharType="begin"/>
      </w:r>
      <w:r>
        <w:instrText xml:space="preserve"> PAGEREF _Toc201066994 \h </w:instrText>
      </w:r>
      <w:r>
        <w:fldChar w:fldCharType="separate"/>
      </w:r>
      <w:r>
        <w:rPr>
          <w:rFonts w:hint="default"/>
        </w:rPr>
        <w:t>14</w:t>
      </w:r>
      <w:r>
        <w:fldChar w:fldCharType="end"/>
      </w:r>
      <w:r>
        <w:fldChar w:fldCharType="end"/>
      </w:r>
    </w:p>
    <w:p w14:paraId="6A3418F2">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"_Toc201066995" </w:instrText>
      </w:r>
      <w:r>
        <w:fldChar w:fldCharType="separate"/>
      </w:r>
      <w:r>
        <w:rPr>
          <w:rStyle w:val="18"/>
          <w:rFonts w:hAnsi="黑体"/>
        </w:rPr>
        <w:t>6.3</w:t>
      </w:r>
      <w:r>
        <w:rPr>
          <w:rStyle w:val="18"/>
        </w:rPr>
        <w:t xml:space="preserve"> 例行试验规则</w:t>
      </w:r>
      <w:r>
        <w:tab/>
      </w:r>
      <w:r>
        <w:fldChar w:fldCharType="begin"/>
      </w:r>
      <w:r>
        <w:instrText xml:space="preserve"> PAGEREF _Toc201066995 \h </w:instrText>
      </w:r>
      <w:r>
        <w:fldChar w:fldCharType="separate"/>
      </w:r>
      <w:r>
        <w:rPr>
          <w:rFonts w:hint="default"/>
        </w:rPr>
        <w:t>14</w:t>
      </w:r>
      <w:r>
        <w:fldChar w:fldCharType="end"/>
      </w:r>
      <w:r>
        <w:fldChar w:fldCharType="end"/>
      </w:r>
    </w:p>
    <w:p w14:paraId="6BADF91E">
      <w:pPr>
        <w:pStyle w:val="13"/>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"_Toc201066996" </w:instrText>
      </w:r>
      <w:r>
        <w:fldChar w:fldCharType="separate"/>
      </w:r>
      <w:r>
        <w:rPr>
          <w:rStyle w:val="18"/>
          <w:rFonts w:hAnsi="黑体"/>
        </w:rPr>
        <w:t>7</w:t>
      </w:r>
      <w:r>
        <w:rPr>
          <w:rStyle w:val="18"/>
        </w:rPr>
        <w:t xml:space="preserve"> 标识与操作指南</w:t>
      </w:r>
      <w:r>
        <w:tab/>
      </w:r>
      <w:r>
        <w:fldChar w:fldCharType="begin"/>
      </w:r>
      <w:r>
        <w:instrText xml:space="preserve"> PAGEREF _Toc201066996 \h </w:instrText>
      </w:r>
      <w:r>
        <w:fldChar w:fldCharType="separate"/>
      </w:r>
      <w:r>
        <w:rPr>
          <w:rFonts w:hint="default"/>
        </w:rPr>
        <w:t>14</w:t>
      </w:r>
      <w:r>
        <w:fldChar w:fldCharType="end"/>
      </w:r>
      <w:r>
        <w:fldChar w:fldCharType="end"/>
      </w:r>
    </w:p>
    <w:p w14:paraId="0C3AE1BF">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"_Toc201066997" </w:instrText>
      </w:r>
      <w:r>
        <w:fldChar w:fldCharType="separate"/>
      </w:r>
      <w:r>
        <w:rPr>
          <w:rStyle w:val="18"/>
          <w:rFonts w:hAnsi="黑体"/>
        </w:rPr>
        <w:t>7.1</w:t>
      </w:r>
      <w:r>
        <w:rPr>
          <w:rStyle w:val="18"/>
        </w:rPr>
        <w:t xml:space="preserve"> 铭牌</w:t>
      </w:r>
      <w:r>
        <w:tab/>
      </w:r>
      <w:r>
        <w:fldChar w:fldCharType="begin"/>
      </w:r>
      <w:r>
        <w:instrText xml:space="preserve"> PAGEREF _Toc201066997 \h </w:instrText>
      </w:r>
      <w:r>
        <w:fldChar w:fldCharType="separate"/>
      </w:r>
      <w:r>
        <w:rPr>
          <w:rFonts w:hint="default"/>
        </w:rPr>
        <w:t>14</w:t>
      </w:r>
      <w:r>
        <w:fldChar w:fldCharType="end"/>
      </w:r>
      <w:r>
        <w:fldChar w:fldCharType="end"/>
      </w:r>
    </w:p>
    <w:p w14:paraId="49F31AF4">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"_Toc201066998" </w:instrText>
      </w:r>
      <w:r>
        <w:fldChar w:fldCharType="separate"/>
      </w:r>
      <w:r>
        <w:rPr>
          <w:rStyle w:val="18"/>
          <w:rFonts w:hAnsi="黑体"/>
        </w:rPr>
        <w:t>7.2</w:t>
      </w:r>
      <w:r>
        <w:rPr>
          <w:rStyle w:val="18"/>
        </w:rPr>
        <w:t xml:space="preserve"> 标识</w:t>
      </w:r>
      <w:r>
        <w:tab/>
      </w:r>
      <w:r>
        <w:fldChar w:fldCharType="begin"/>
      </w:r>
      <w:r>
        <w:instrText xml:space="preserve"> PAGEREF _Toc201066998 \h </w:instrText>
      </w:r>
      <w:r>
        <w:fldChar w:fldCharType="separate"/>
      </w:r>
      <w:r>
        <w:rPr>
          <w:rFonts w:hint="default"/>
        </w:rPr>
        <w:t>15</w:t>
      </w:r>
      <w:r>
        <w:fldChar w:fldCharType="end"/>
      </w:r>
      <w:r>
        <w:fldChar w:fldCharType="end"/>
      </w:r>
    </w:p>
    <w:p w14:paraId="0E5DCFD2">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"_Toc201066999" </w:instrText>
      </w:r>
      <w:r>
        <w:fldChar w:fldCharType="separate"/>
      </w:r>
      <w:r>
        <w:rPr>
          <w:rStyle w:val="18"/>
          <w:rFonts w:hAnsi="黑体"/>
        </w:rPr>
        <w:t>7.3</w:t>
      </w:r>
      <w:r>
        <w:rPr>
          <w:rStyle w:val="18"/>
        </w:rPr>
        <w:t xml:space="preserve"> 警示标签</w:t>
      </w:r>
      <w:r>
        <w:tab/>
      </w:r>
      <w:r>
        <w:fldChar w:fldCharType="begin"/>
      </w:r>
      <w:r>
        <w:instrText xml:space="preserve"> PAGEREF _Toc201066999 \h </w:instrText>
      </w:r>
      <w:r>
        <w:fldChar w:fldCharType="separate"/>
      </w:r>
      <w:r>
        <w:rPr>
          <w:rFonts w:hint="default"/>
        </w:rPr>
        <w:t>15</w:t>
      </w:r>
      <w:r>
        <w:fldChar w:fldCharType="end"/>
      </w:r>
      <w:r>
        <w:fldChar w:fldCharType="end"/>
      </w:r>
    </w:p>
    <w:p w14:paraId="3FFA6236">
      <w:pPr>
        <w:pStyle w:val="15"/>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"_Toc201067000" </w:instrText>
      </w:r>
      <w:r>
        <w:fldChar w:fldCharType="separate"/>
      </w:r>
      <w:r>
        <w:rPr>
          <w:rStyle w:val="18"/>
          <w:rFonts w:hAnsi="黑体"/>
        </w:rPr>
        <w:t>7.4</w:t>
      </w:r>
      <w:r>
        <w:rPr>
          <w:rStyle w:val="18"/>
        </w:rPr>
        <w:t xml:space="preserve"> 文件</w:t>
      </w:r>
      <w:r>
        <w:tab/>
      </w:r>
      <w:r>
        <w:fldChar w:fldCharType="begin"/>
      </w:r>
      <w:r>
        <w:instrText xml:space="preserve"> PAGEREF _Toc201067000 \h </w:instrText>
      </w:r>
      <w:r>
        <w:fldChar w:fldCharType="separate"/>
      </w:r>
      <w:r>
        <w:rPr>
          <w:rFonts w:hint="default"/>
        </w:rPr>
        <w:t>15</w:t>
      </w:r>
      <w:r>
        <w:fldChar w:fldCharType="end"/>
      </w:r>
      <w:r>
        <w:fldChar w:fldCharType="end"/>
      </w:r>
    </w:p>
    <w:p w14:paraId="039690EE">
      <w:pPr>
        <w:pStyle w:val="13"/>
        <w:tabs>
          <w:tab w:val="right" w:leader="dot" w:pos="9345"/>
        </w:tabs>
        <w:rPr>
          <w:rFonts w:asciiTheme="minorHAnsi" w:hAnsiTheme="minorHAnsi" w:eastAsiaTheme="minorEastAsia" w:cstheme="minorBidi"/>
          <w:sz w:val="22"/>
          <w14:ligatures w14:val="standardContextual"/>
        </w:rPr>
      </w:pPr>
      <w:r>
        <w:fldChar w:fldCharType="begin"/>
      </w:r>
      <w:r>
        <w:instrText xml:space="preserve"> HYPERLINK \l "_Toc201067001" </w:instrText>
      </w:r>
      <w:r>
        <w:fldChar w:fldCharType="separate"/>
      </w:r>
      <w:r>
        <w:rPr>
          <w:rStyle w:val="18"/>
          <w:rFonts w:hAnsi="黑体"/>
          <w:highlight w:val="yellow"/>
        </w:rPr>
        <w:t>8</w:t>
      </w:r>
      <w:r>
        <w:rPr>
          <w:rStyle w:val="18"/>
        </w:rPr>
        <w:t xml:space="preserve"> 质</w:t>
      </w:r>
      <w:r>
        <w:rPr>
          <w:rStyle w:val="18"/>
          <w:highlight w:val="yellow"/>
        </w:rPr>
        <w:t>量承诺</w:t>
      </w:r>
      <w:r>
        <w:tab/>
      </w:r>
      <w:r>
        <w:fldChar w:fldCharType="begin"/>
      </w:r>
      <w:r>
        <w:instrText xml:space="preserve"> PAGEREF _Toc201067001 \h </w:instrText>
      </w:r>
      <w:r>
        <w:fldChar w:fldCharType="separate"/>
      </w:r>
      <w:r>
        <w:rPr>
          <w:rFonts w:hint="default"/>
        </w:rPr>
        <w:t>17</w:t>
      </w:r>
      <w:r>
        <w:fldChar w:fldCharType="end"/>
      </w:r>
      <w:r>
        <w:fldChar w:fldCharType="end"/>
      </w:r>
    </w:p>
    <w:p w14:paraId="2C0C4BF6">
      <w:pPr>
        <w:rPr>
          <w:rFonts w:hint="default"/>
        </w:rPr>
      </w:pPr>
      <w:r>
        <w:rPr>
          <w:rFonts w:hint="default" w:hAnsi="宋体"/>
        </w:rPr>
        <w:fldChar w:fldCharType="end"/>
      </w:r>
    </w:p>
    <w:p w14:paraId="6ECAE498">
      <w:pPr>
        <w:pStyle w:val="49"/>
        <w:spacing w:after="468"/>
        <w:rPr>
          <w:rFonts w:hint="default"/>
          <w:szCs w:val="20"/>
        </w:rPr>
      </w:pPr>
      <w:r>
        <w:rPr>
          <w:rFonts w:hint="default"/>
        </w:rPr>
        <w:br w:type="page"/>
      </w:r>
    </w:p>
    <w:p w14:paraId="78B09F50">
      <w:pPr>
        <w:pStyle w:val="50"/>
        <w:spacing w:after="468"/>
        <w:rPr>
          <w:rFonts w:hint="default"/>
        </w:rPr>
      </w:pPr>
      <w:bookmarkStart w:id="18" w:name="_Toc201066961"/>
      <w:r>
        <w:rPr>
          <w:spacing w:val="317"/>
        </w:rPr>
        <w:t>前</w:t>
      </w:r>
      <w:bookmarkStart w:id="19" w:name="BKQY"/>
      <w:r>
        <w:t>言</w:t>
      </w:r>
      <w:bookmarkEnd w:id="18"/>
    </w:p>
    <w:p w14:paraId="2ADCC942">
      <w:pPr>
        <w:pStyle w:val="20"/>
        <w:ind w:firstLine="420"/>
        <w:rPr>
          <w:rFonts w:hint="default"/>
        </w:rPr>
      </w:pPr>
      <w:r>
        <w:t>本文件按照GB/T 1.1—2020《标准化工作导则  第1部分：标准化文件的结构和起草规则》的规定起草。</w:t>
      </w:r>
    </w:p>
    <w:p w14:paraId="7321B2EE">
      <w:pPr>
        <w:pStyle w:val="20"/>
        <w:ind w:firstLine="420"/>
        <w:rPr>
          <w:rFonts w:hint="default"/>
        </w:rPr>
      </w:pPr>
      <w:r>
        <w:t>请注意本文件的某些内容可能涉及专利。本文件的发布机构不承担识别这些专利的责任。</w:t>
      </w:r>
    </w:p>
    <w:p w14:paraId="6EDA3903">
      <w:pPr>
        <w:pStyle w:val="20"/>
        <w:ind w:firstLine="420"/>
        <w:rPr>
          <w:rFonts w:hint="default"/>
        </w:rPr>
      </w:pPr>
      <w:r>
        <w:t>本文件由中科嘉鸿（佛山市）新能源科技有限公司提出。</w:t>
      </w:r>
    </w:p>
    <w:p w14:paraId="44CA1F4D">
      <w:pPr>
        <w:pStyle w:val="20"/>
        <w:ind w:firstLine="420"/>
        <w:rPr>
          <w:rFonts w:hint="default"/>
        </w:rPr>
      </w:pPr>
      <w:r>
        <w:t>本文件由佛山市佛山标准和卓越绩效管理促进会归口。</w:t>
      </w:r>
    </w:p>
    <w:p w14:paraId="191FA684">
      <w:pPr>
        <w:pStyle w:val="20"/>
        <w:ind w:firstLine="420"/>
        <w:rPr>
          <w:rFonts w:hint="default"/>
        </w:rPr>
      </w:pPr>
      <w:r>
        <w:t>本文件起草单位：中科嘉鸿（佛山市）新能源科技有限公司、中国科学院大连化学物理研究所。</w:t>
      </w:r>
    </w:p>
    <w:p w14:paraId="6E43CBC0">
      <w:pPr>
        <w:pStyle w:val="20"/>
        <w:ind w:firstLine="420"/>
        <w:rPr>
          <w:rFonts w:hint="default"/>
        </w:rPr>
      </w:pPr>
      <w:r>
        <w:t>本文件主要起草人：孙公权、王素力、杨林林、王子乾、陈曦等。</w:t>
      </w:r>
    </w:p>
    <w:p w14:paraId="39EC6EA0">
      <w:pPr>
        <w:pStyle w:val="20"/>
        <w:ind w:firstLine="420"/>
        <w:rPr>
          <w:rFonts w:hint="default"/>
        </w:rPr>
      </w:pPr>
    </w:p>
    <w:bookmarkEnd w:id="19"/>
    <w:p w14:paraId="3E5CBCED">
      <w:pPr>
        <w:rPr>
          <w:rFonts w:hint="default"/>
        </w:rPr>
      </w:pPr>
    </w:p>
    <w:p w14:paraId="06C8B0E9">
      <w:pPr>
        <w:rPr>
          <w:rFonts w:hint="default"/>
        </w:rPr>
      </w:pPr>
    </w:p>
    <w:p w14:paraId="5C3781D5">
      <w:pPr>
        <w:widowControl/>
        <w:jc w:val="left"/>
        <w:rPr>
          <w:rFonts w:hint="default"/>
        </w:rPr>
      </w:pPr>
      <w:r>
        <w:rPr>
          <w:rFonts w:hint="default"/>
        </w:rPr>
        <w:br w:type="page"/>
      </w:r>
    </w:p>
    <w:p w14:paraId="587CA224">
      <w:pPr>
        <w:pStyle w:val="50"/>
        <w:spacing w:after="468"/>
        <w:rPr>
          <w:rFonts w:hint="default"/>
        </w:rPr>
      </w:pPr>
      <w:bookmarkStart w:id="20" w:name="_Toc201066962"/>
      <w:r>
        <w:rPr>
          <w:spacing w:val="317"/>
        </w:rPr>
        <w:t>引</w:t>
      </w:r>
      <w:bookmarkStart w:id="21" w:name="BKYY"/>
      <w:r>
        <w:t>言</w:t>
      </w:r>
      <w:bookmarkEnd w:id="20"/>
    </w:p>
    <w:p w14:paraId="40653025">
      <w:pPr>
        <w:pStyle w:val="20"/>
        <w:ind w:firstLine="420"/>
        <w:rPr>
          <w:rFonts w:hint="default"/>
        </w:rPr>
      </w:pPr>
      <w:r>
        <w:t>佛山标准是佛山市为推动制造业高质量发展，打造的系列先进标准。</w:t>
      </w:r>
    </w:p>
    <w:p w14:paraId="04F4D8F5">
      <w:pPr>
        <w:pStyle w:val="20"/>
        <w:ind w:firstLine="420"/>
        <w:rPr>
          <w:rFonts w:hint="default"/>
        </w:rPr>
      </w:pPr>
      <w: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p>
    <w:p w14:paraId="4033D67E">
      <w:pPr>
        <w:pStyle w:val="20"/>
        <w:ind w:firstLine="420"/>
        <w:rPr>
          <w:rFonts w:hint="default"/>
        </w:rPr>
      </w:pPr>
    </w:p>
    <w:bookmarkEnd w:id="21"/>
    <w:p w14:paraId="1FB86F0D">
      <w:pPr>
        <w:pStyle w:val="20"/>
        <w:ind w:firstLine="420"/>
        <w:rPr>
          <w:rFonts w:hint="default"/>
        </w:rPr>
      </w:pPr>
    </w:p>
    <w:p w14:paraId="0188FFF2">
      <w:pPr>
        <w:rPr>
          <w:rFonts w:hint="default"/>
        </w:rPr>
        <w:sectPr>
          <w:headerReference r:id="rId5" w:type="default"/>
          <w:footerReference r:id="rId6" w:type="default"/>
          <w:pgSz w:w="11906" w:h="16838"/>
          <w:pgMar w:top="2409" w:right="1134" w:bottom="1134" w:left="1134" w:header="1417" w:footer="1134" w:gutter="283"/>
          <w:pgNumType w:fmt="upperRoman" w:start="1"/>
          <w:cols w:space="425" w:num="1"/>
          <w:docGrid w:type="lines" w:linePitch="312" w:charSpace="0"/>
        </w:sectPr>
      </w:pPr>
    </w:p>
    <w:sdt>
      <w:sdtPr>
        <w:rPr>
          <w:rStyle w:val="115"/>
        </w:rPr>
        <w:tag w:val="StandardName"/>
        <w:id w:val="1621184486"/>
        <w:lock w:val="sdtLocked"/>
        <w:placeholder>
          <w:docPart w:val="DefaultPlaceholder_-1854013440"/>
        </w:placeholder>
      </w:sdtPr>
      <w:sdtEndPr>
        <w:rPr>
          <w:rStyle w:val="115"/>
        </w:rPr>
      </w:sdtEndPr>
      <w:sdtContent>
        <w:p w14:paraId="7FCF9F8E">
          <w:pPr>
            <w:pStyle w:val="51"/>
            <w:rPr>
              <w:rStyle w:val="115"/>
            </w:rPr>
          </w:pPr>
          <w:bookmarkStart w:id="22" w:name="StandardName"/>
          <w:r>
            <w:rPr>
              <w:rStyle w:val="115"/>
            </w:rPr>
            <w:t>佛山标准 船用高温甲醇燃料电堆模块</w:t>
          </w:r>
        </w:p>
      </w:sdtContent>
    </w:sdt>
    <w:bookmarkEnd w:id="22"/>
    <w:p w14:paraId="5B291714">
      <w:pPr>
        <w:pStyle w:val="67"/>
        <w:spacing w:before="312" w:after="312"/>
        <w:rPr>
          <w:rFonts w:hint="default"/>
        </w:rPr>
      </w:pPr>
      <w:bookmarkStart w:id="23" w:name="_Toc201066963"/>
      <w:r>
        <w:t>范围</w:t>
      </w:r>
      <w:bookmarkEnd w:id="23"/>
    </w:p>
    <w:p w14:paraId="52672F75">
      <w:pPr>
        <w:pStyle w:val="20"/>
        <w:ind w:firstLine="420"/>
        <w:rPr>
          <w:rFonts w:hint="default"/>
        </w:rPr>
      </w:pPr>
      <w:r>
        <w:t>本文规定了船用高温甲醇燃料电堆模块的术语与符号、要求、试验方法、检验规则和标识、说明和技术文件。</w:t>
      </w:r>
    </w:p>
    <w:p w14:paraId="5B94897F">
      <w:pPr>
        <w:pStyle w:val="20"/>
        <w:ind w:firstLine="420"/>
        <w:rPr>
          <w:rFonts w:hint="default"/>
        </w:rPr>
      </w:pPr>
      <w:r>
        <w:t>本标准适用于船用高温甲醇燃料电堆模块（以下简称燃料电池模块）。</w:t>
      </w:r>
    </w:p>
    <w:p w14:paraId="6C6BBFD9">
      <w:pPr>
        <w:pStyle w:val="20"/>
        <w:ind w:firstLine="420"/>
        <w:rPr>
          <w:rFonts w:hint="default"/>
        </w:rPr>
      </w:pPr>
      <w:r>
        <w:t>本标准并不限制或抑制技术进步。如果燃料电池模块材料或结构形式有异于本标准所述，可根据要求目的进行检查和试验，若实质等同，可视为符合本标准。</w:t>
      </w:r>
    </w:p>
    <w:p w14:paraId="7CABEB8D">
      <w:pPr>
        <w:pStyle w:val="67"/>
        <w:spacing w:before="312" w:after="312"/>
        <w:rPr>
          <w:rFonts w:hint="default"/>
        </w:rPr>
      </w:pPr>
      <w:bookmarkStart w:id="24" w:name="_Toc201066964"/>
      <w:r>
        <w:t>规范性引用文件</w:t>
      </w:r>
      <w:bookmarkEnd w:id="24"/>
    </w:p>
    <w:sdt>
      <w:sdtPr>
        <w:rPr>
          <w:rFonts w:hint="default"/>
        </w:rPr>
        <w:tag w:val="StandNameFile"/>
        <w:id w:val="599147580"/>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default"/>
        </w:rPr>
      </w:sdtEndPr>
      <w:sdtContent>
        <w:p w14:paraId="6A788D03">
          <w:pPr>
            <w:pStyle w:val="20"/>
            <w:ind w:firstLine="420"/>
            <w:rPr>
              <w:rFonts w:hint="default"/>
            </w:rPr>
          </w:pPr>
          <w:r>
            <w:rPr>
              <w:rFonts w:hint="default"/>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DC6919E">
      <w:pPr>
        <w:pStyle w:val="20"/>
        <w:ind w:firstLine="420"/>
        <w:rPr>
          <w:rFonts w:hint="default"/>
        </w:rPr>
      </w:pPr>
      <w:r>
        <w:t>E23 氢燃料电池</w:t>
      </w:r>
    </w:p>
    <w:p w14:paraId="35CD38F5">
      <w:pPr>
        <w:pStyle w:val="20"/>
        <w:ind w:firstLine="420"/>
        <w:rPr>
          <w:rFonts w:hint="default"/>
        </w:rPr>
      </w:pPr>
      <w:r>
        <w:t xml:space="preserve">GB/T 14536.1 自动电气控制设备 第1部分：通用要求 </w:t>
      </w:r>
    </w:p>
    <w:p w14:paraId="1D0EF1B0">
      <w:pPr>
        <w:pStyle w:val="20"/>
        <w:ind w:firstLine="420"/>
        <w:rPr>
          <w:rFonts w:hint="default"/>
        </w:rPr>
      </w:pPr>
      <w:r>
        <w:t>GB/T 15329 橡胶软管及软管组合件 油基或水基流体适用的织物增强液压型 规范</w:t>
      </w:r>
    </w:p>
    <w:p w14:paraId="615AA8E1">
      <w:pPr>
        <w:pStyle w:val="20"/>
        <w:ind w:firstLine="420"/>
        <w:rPr>
          <w:rFonts w:hint="default"/>
        </w:rPr>
      </w:pPr>
      <w:r>
        <w:t xml:space="preserve">GB/T 18290 无焊连接 </w:t>
      </w:r>
    </w:p>
    <w:p w14:paraId="6E0DA590">
      <w:pPr>
        <w:pStyle w:val="20"/>
        <w:ind w:firstLine="420"/>
        <w:rPr>
          <w:rFonts w:hint="default"/>
        </w:rPr>
      </w:pPr>
      <w:r>
        <w:t>GB/T 20438 电气/电子/可编程电子安全相关系统的功能安全</w:t>
      </w:r>
    </w:p>
    <w:p w14:paraId="1C957FBF">
      <w:pPr>
        <w:pStyle w:val="20"/>
        <w:ind w:firstLine="420"/>
        <w:rPr>
          <w:rFonts w:hint="default"/>
        </w:rPr>
      </w:pPr>
      <w:r>
        <w:t>GB/T 2423.1-2008  电工电子产品环境试验 第2部分：试验方法 试验A： 低温</w:t>
      </w:r>
    </w:p>
    <w:p w14:paraId="2E5294BC">
      <w:pPr>
        <w:pStyle w:val="20"/>
        <w:ind w:firstLine="420"/>
        <w:rPr>
          <w:rFonts w:hint="default"/>
        </w:rPr>
      </w:pPr>
      <w:r>
        <w:t>GB/T 2423.2-2008 电工电子产品环境试验 第2部分：试验方法 试验B：高温</w:t>
      </w:r>
    </w:p>
    <w:p w14:paraId="3120BBAD">
      <w:pPr>
        <w:pStyle w:val="20"/>
        <w:ind w:firstLine="420"/>
        <w:rPr>
          <w:rFonts w:hint="default"/>
        </w:rPr>
      </w:pPr>
      <w:r>
        <w:t>GB/T 2423.3-2016  环境试验 第2部分：试验方法 试验Cab：恒定湿热试验</w:t>
      </w:r>
    </w:p>
    <w:p w14:paraId="4FCCAB59">
      <w:pPr>
        <w:pStyle w:val="20"/>
        <w:ind w:firstLine="420"/>
        <w:rPr>
          <w:rFonts w:hint="default"/>
        </w:rPr>
      </w:pPr>
      <w:r>
        <w:t>GB/T 2423.4-2008 电工电子产品环境试验 第2部分：试验方法 试验Db 交变湿热（12h＋12h循环）</w:t>
      </w:r>
    </w:p>
    <w:p w14:paraId="79D64474">
      <w:pPr>
        <w:pStyle w:val="20"/>
        <w:ind w:firstLine="420"/>
        <w:rPr>
          <w:rFonts w:hint="default"/>
        </w:rPr>
      </w:pPr>
      <w:r>
        <w:t>GB/T 2423.5-2019 环境试验 第2部分：试验方法 试验Ea和导则:冲击</w:t>
      </w:r>
    </w:p>
    <w:p w14:paraId="2C0D0F27">
      <w:pPr>
        <w:pStyle w:val="20"/>
        <w:ind w:firstLine="420"/>
        <w:rPr>
          <w:rFonts w:hint="default"/>
        </w:rPr>
      </w:pPr>
      <w:r>
        <w:t>GB/T 2423.101-2008  电工电子产品环境试验 第2部分：试验方法 试验：倾斜和摇摆</w:t>
      </w:r>
    </w:p>
    <w:p w14:paraId="0C0B0C22">
      <w:pPr>
        <w:pStyle w:val="20"/>
        <w:ind w:firstLine="420"/>
        <w:rPr>
          <w:rFonts w:hint="default"/>
        </w:rPr>
      </w:pPr>
      <w:r>
        <w:t xml:space="preserve">GB/T 2423.10-2019 环境试验 第2部分：试验方法 试验Fc: 振动(正弦) </w:t>
      </w:r>
    </w:p>
    <w:p w14:paraId="1EDD3A56">
      <w:pPr>
        <w:pStyle w:val="20"/>
        <w:ind w:firstLine="420"/>
        <w:rPr>
          <w:rFonts w:hint="default"/>
        </w:rPr>
      </w:pPr>
      <w:r>
        <w:t>GB/T 2423.17-2024  环境试验 第2部分：试验方法 试验Ka：盐雾</w:t>
      </w:r>
    </w:p>
    <w:p w14:paraId="2813C1BF">
      <w:pPr>
        <w:pStyle w:val="20"/>
        <w:ind w:firstLine="420"/>
        <w:rPr>
          <w:rFonts w:hint="default"/>
        </w:rPr>
      </w:pPr>
      <w:r>
        <w:t>GB/T 2423.18-2021  环境试验 第2部分：试验方法 试验Kb：盐雾，交变（氯化钠溶液）</w:t>
      </w:r>
    </w:p>
    <w:p w14:paraId="18FC8153">
      <w:pPr>
        <w:pStyle w:val="20"/>
        <w:ind w:firstLine="420"/>
        <w:rPr>
          <w:rFonts w:hint="default"/>
        </w:rPr>
      </w:pPr>
      <w:r>
        <w:t xml:space="preserve">GB 28526-2012 机械电气安全 安全相关电气、电子和可编程电子控制系统的功能安全 </w:t>
      </w:r>
    </w:p>
    <w:p w14:paraId="29FA04D3">
      <w:pPr>
        <w:pStyle w:val="20"/>
        <w:ind w:firstLine="420"/>
        <w:rPr>
          <w:rFonts w:hint="default"/>
        </w:rPr>
      </w:pPr>
      <w:r>
        <w:t>GB/T 29838-2013 燃料电池 模块</w:t>
      </w:r>
    </w:p>
    <w:p w14:paraId="7797EAEA">
      <w:pPr>
        <w:pStyle w:val="20"/>
        <w:ind w:firstLine="420"/>
        <w:rPr>
          <w:rFonts w:hint="default"/>
        </w:rPr>
      </w:pPr>
      <w:r>
        <w:t>GB/T 3512 硫化橡胶或热塑性橡胶 热空气加速老化和耐热试验</w:t>
      </w:r>
    </w:p>
    <w:p w14:paraId="1A1C122A">
      <w:pPr>
        <w:pStyle w:val="20"/>
        <w:ind w:firstLine="420"/>
        <w:rPr>
          <w:rFonts w:hint="default"/>
        </w:rPr>
      </w:pPr>
      <w:r>
        <w:t>GB/T 3683 橡胶软管及软管组合件 油基或水基流体适用的钢丝编织增强液压型 规范</w:t>
      </w:r>
    </w:p>
    <w:p w14:paraId="41F1922D">
      <w:pPr>
        <w:pStyle w:val="20"/>
        <w:ind w:firstLine="420"/>
        <w:rPr>
          <w:rFonts w:hint="default"/>
        </w:rPr>
      </w:pPr>
      <w:r>
        <w:t>GB/T 37765 电子电气产品中石棉的定性检测方法</w:t>
      </w:r>
    </w:p>
    <w:p w14:paraId="6B8195AC">
      <w:pPr>
        <w:pStyle w:val="20"/>
        <w:ind w:firstLine="420"/>
        <w:rPr>
          <w:rFonts w:hint="default"/>
        </w:rPr>
      </w:pPr>
      <w:r>
        <w:t>GB 3836.1 爆炸性环境 第1部分：设备通用要求</w:t>
      </w:r>
    </w:p>
    <w:p w14:paraId="6557D2B4">
      <w:pPr>
        <w:pStyle w:val="20"/>
        <w:ind w:firstLine="420"/>
        <w:rPr>
          <w:rFonts w:hint="default"/>
        </w:rPr>
      </w:pPr>
      <w:r>
        <w:t>GB 3836.14 爆炸性环境 第14部分：场所分类 爆炸性气体环境</w:t>
      </w:r>
    </w:p>
    <w:p w14:paraId="753B40E5">
      <w:pPr>
        <w:pStyle w:val="20"/>
        <w:ind w:firstLine="420"/>
        <w:rPr>
          <w:rFonts w:hint="default"/>
        </w:rPr>
      </w:pPr>
      <w:r>
        <w:t>GB/T 4208-2017 外壳防护等级（IP代码）</w:t>
      </w:r>
    </w:p>
    <w:p w14:paraId="7D35748B">
      <w:pPr>
        <w:pStyle w:val="20"/>
        <w:ind w:firstLine="420"/>
        <w:rPr>
          <w:rFonts w:hint="default"/>
        </w:rPr>
      </w:pPr>
      <w:r>
        <w:t>GB 4706.1 家用和类似用途电器的安全 第1部分：通用要求</w:t>
      </w:r>
    </w:p>
    <w:p w14:paraId="06C4F34F">
      <w:pPr>
        <w:pStyle w:val="20"/>
        <w:ind w:firstLine="420"/>
        <w:rPr>
          <w:rFonts w:hint="default"/>
        </w:rPr>
      </w:pPr>
      <w:r>
        <w:t xml:space="preserve">GB 4943.1 音视频、信息技术和通信技术设备安全要求 </w:t>
      </w:r>
    </w:p>
    <w:p w14:paraId="4CB6C616">
      <w:pPr>
        <w:pStyle w:val="20"/>
        <w:ind w:firstLine="420"/>
        <w:rPr>
          <w:rFonts w:hint="default"/>
        </w:rPr>
      </w:pPr>
      <w:r>
        <w:t>GB/T 5169.5-2020 电工电子产品着火危险试验 第5部分：试验火焰 针焰试验方法 装置、确认试验方法和导则</w:t>
      </w:r>
    </w:p>
    <w:p w14:paraId="1ADA102A">
      <w:pPr>
        <w:pStyle w:val="20"/>
        <w:ind w:firstLine="420"/>
        <w:rPr>
          <w:rFonts w:hint="default"/>
        </w:rPr>
      </w:pPr>
      <w:r>
        <w:t xml:space="preserve">GB/T 5226.1 机械电气安全 机械电气设备 第1部分：通用要求 </w:t>
      </w:r>
    </w:p>
    <w:p w14:paraId="3AAACA63">
      <w:pPr>
        <w:pStyle w:val="20"/>
        <w:ind w:firstLine="420"/>
        <w:rPr>
          <w:rFonts w:hint="default"/>
        </w:rPr>
      </w:pPr>
      <w:r>
        <w:t>GB/T 528 硫化橡胶或热塑性橡胶 拉伸应力应变性能的测定</w:t>
      </w:r>
    </w:p>
    <w:p w14:paraId="45231B78">
      <w:pPr>
        <w:pStyle w:val="20"/>
        <w:ind w:firstLine="420"/>
        <w:rPr>
          <w:rFonts w:hint="default"/>
        </w:rPr>
      </w:pPr>
      <w:r>
        <w:t xml:space="preserve">GB/T 5563 橡胶和塑料软管及软管组合件 静液压试验方法 </w:t>
      </w:r>
    </w:p>
    <w:p w14:paraId="6EE1ACD2">
      <w:pPr>
        <w:pStyle w:val="20"/>
        <w:ind w:firstLine="420"/>
        <w:rPr>
          <w:rFonts w:hint="default"/>
        </w:rPr>
      </w:pPr>
      <w:r>
        <w:t xml:space="preserve">GB/T 7260.4 不间断电源设备 第1-2部分：限制触及区使用的UPS的一般规定和安全要求 </w:t>
      </w:r>
    </w:p>
    <w:p w14:paraId="62AFF983">
      <w:pPr>
        <w:pStyle w:val="20"/>
        <w:ind w:firstLine="420"/>
        <w:rPr>
          <w:rFonts w:hint="default"/>
        </w:rPr>
      </w:pPr>
      <w:r>
        <w:t>GB/T 7826 系统可靠性分析技术 故障模式和影响分析 （FMEA）程序</w:t>
      </w:r>
    </w:p>
    <w:p w14:paraId="1403EEEF">
      <w:pPr>
        <w:pStyle w:val="20"/>
        <w:ind w:firstLine="420"/>
        <w:rPr>
          <w:rFonts w:hint="default"/>
        </w:rPr>
      </w:pPr>
      <w:r>
        <w:t>GB/T 9575 橡胶和塑料软管 软管规格和最大最小内径及切割长度公差</w:t>
      </w:r>
    </w:p>
    <w:p w14:paraId="75F20037">
      <w:pPr>
        <w:pStyle w:val="20"/>
        <w:ind w:firstLine="420"/>
        <w:rPr>
          <w:rFonts w:hint="default"/>
        </w:rPr>
      </w:pPr>
      <w:r>
        <w:t>GD019-2024 电气电子产品型式认可试验指南</w:t>
      </w:r>
    </w:p>
    <w:p w14:paraId="5FFF436D">
      <w:pPr>
        <w:pStyle w:val="20"/>
        <w:ind w:firstLine="420"/>
        <w:rPr>
          <w:rFonts w:hint="default"/>
        </w:rPr>
      </w:pPr>
      <w:r>
        <w:t>GD14-2022 船舶应用燃料电池发电装置指南</w:t>
      </w:r>
    </w:p>
    <w:p w14:paraId="5ECA99C4">
      <w:pPr>
        <w:pStyle w:val="20"/>
        <w:ind w:firstLine="420"/>
        <w:rPr>
          <w:rFonts w:hint="default"/>
        </w:rPr>
      </w:pPr>
      <w:r>
        <w:t>GD16-2022 船舶应用甲醇乙醇燃料指南</w:t>
      </w:r>
    </w:p>
    <w:p w14:paraId="1D79E6FF">
      <w:pPr>
        <w:pStyle w:val="20"/>
        <w:ind w:firstLine="420"/>
        <w:rPr>
          <w:rFonts w:hint="default"/>
        </w:rPr>
      </w:pPr>
      <w:r>
        <w:t>MSA 2022年第2号公告 氢燃料电池动力船舶技术与检验暂行规则</w:t>
      </w:r>
    </w:p>
    <w:p w14:paraId="689F829A">
      <w:pPr>
        <w:pStyle w:val="20"/>
        <w:ind w:firstLine="420"/>
        <w:rPr>
          <w:rFonts w:hint="default"/>
        </w:rPr>
      </w:pPr>
      <w:r>
        <w:t>MSA 2023年第9号公告 醇燃料动力船舶技术与检验暂行规则</w:t>
      </w:r>
    </w:p>
    <w:p w14:paraId="4A62301A">
      <w:pPr>
        <w:pStyle w:val="20"/>
        <w:ind w:firstLine="420"/>
        <w:rPr>
          <w:rFonts w:hint="default"/>
        </w:rPr>
      </w:pPr>
      <w:r>
        <w:t>R001-2024 钢质海船入级规范</w:t>
      </w:r>
    </w:p>
    <w:p w14:paraId="33DC2D56">
      <w:pPr>
        <w:pStyle w:val="20"/>
        <w:ind w:firstLine="420"/>
        <w:rPr>
          <w:rFonts w:hint="default"/>
        </w:rPr>
      </w:pPr>
      <w:r>
        <w:t>R002-2025 材料与焊接规范</w:t>
      </w:r>
    </w:p>
    <w:p w14:paraId="20C4188E">
      <w:pPr>
        <w:pStyle w:val="67"/>
        <w:spacing w:before="312" w:after="312"/>
        <w:rPr>
          <w:rFonts w:hint="default"/>
        </w:rPr>
      </w:pPr>
      <w:bookmarkStart w:id="25" w:name="_Toc201066965"/>
      <w:r>
        <w:t>术语和定义</w:t>
      </w:r>
      <w:bookmarkEnd w:id="25"/>
    </w:p>
    <w:sdt>
      <w:sdtPr>
        <w:rPr>
          <w:rFonts w:hint="default"/>
        </w:rPr>
        <w:tag w:val="TermContent"/>
        <w:id w:val="397716961"/>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rPr>
      </w:sdtEndPr>
      <w:sdtContent>
        <w:p w14:paraId="1DEED109">
          <w:pPr>
            <w:pStyle w:val="20"/>
            <w:ind w:firstLine="420"/>
            <w:rPr>
              <w:rFonts w:hint="default"/>
            </w:rPr>
          </w:pPr>
          <w:r>
            <w:rPr>
              <w:rFonts w:hint="default"/>
            </w:rPr>
            <w:t>GB/T 29838-2013界定的术语和定义适用于本文件。</w:t>
          </w:r>
        </w:p>
      </w:sdtContent>
    </w:sdt>
    <w:p w14:paraId="6DD60AC0">
      <w:pPr>
        <w:pStyle w:val="78"/>
        <w:ind w:hanging="420"/>
      </w:pPr>
      <w:r>
        <w:rPr>
          <w:rFonts w:hint="default"/>
        </w:rPr>
        <w:br w:type="textWrapping"/>
      </w:r>
      <w:r>
        <w:t>气体泄漏 gas leakage</w:t>
      </w:r>
    </w:p>
    <w:p w14:paraId="476768B4">
      <w:pPr>
        <w:pStyle w:val="20"/>
        <w:ind w:firstLine="420"/>
        <w:rPr>
          <w:rFonts w:hint="default"/>
        </w:rPr>
      </w:pPr>
      <w:r>
        <w:t>除有意排出的废气之外，离开燃料电池模块的气体的总和。</w:t>
      </w:r>
    </w:p>
    <w:p w14:paraId="65288C18">
      <w:pPr>
        <w:pStyle w:val="78"/>
        <w:ind w:hanging="420"/>
      </w:pPr>
      <w:r>
        <w:rPr>
          <w:rFonts w:hint="default"/>
        </w:rPr>
        <w:br w:type="textWrapping"/>
      </w:r>
      <w:r>
        <w:t>低可燃极限 lower flammability limit（LFL）</w:t>
      </w:r>
    </w:p>
    <w:p w14:paraId="5F93523A">
      <w:pPr>
        <w:pStyle w:val="20"/>
        <w:ind w:firstLine="420"/>
        <w:rPr>
          <w:rFonts w:hint="default"/>
        </w:rPr>
      </w:pPr>
      <w:r>
        <w:t>燃料-空气混合物中的燃料能被火源点燃的最低浓度。</w:t>
      </w:r>
    </w:p>
    <w:p w14:paraId="31C66F49">
      <w:pPr>
        <w:pStyle w:val="78"/>
        <w:ind w:hanging="420"/>
      </w:pPr>
      <w:r>
        <w:rPr>
          <w:rFonts w:hint="default"/>
        </w:rPr>
        <w:br w:type="textWrapping"/>
      </w:r>
      <w:r>
        <w:t>爆炸性环境 explosive atmosphere</w:t>
      </w:r>
    </w:p>
    <w:p w14:paraId="24A812CC">
      <w:pPr>
        <w:pStyle w:val="20"/>
        <w:ind w:firstLine="420"/>
        <w:rPr>
          <w:rFonts w:hint="default"/>
        </w:rPr>
      </w:pPr>
      <w:r>
        <w:t>在大气条件下，可燃性物质以气体、蒸汽、粉尘、纤维或飞絮的形式与空气形成的混合物，被点燃后，能够保持燃烧自行传播的环境。</w:t>
      </w:r>
    </w:p>
    <w:p w14:paraId="5EE5D654">
      <w:pPr>
        <w:pStyle w:val="78"/>
        <w:ind w:hanging="420"/>
      </w:pPr>
      <w:r>
        <w:rPr>
          <w:rFonts w:hint="default"/>
        </w:rPr>
        <w:br w:type="textWrapping"/>
      </w:r>
      <w:r>
        <w:t>区域 zones</w:t>
      </w:r>
    </w:p>
    <w:p w14:paraId="325C3387">
      <w:pPr>
        <w:pStyle w:val="20"/>
        <w:ind w:firstLine="420"/>
        <w:rPr>
          <w:rFonts w:hint="default"/>
        </w:rPr>
      </w:pPr>
      <w:r>
        <w:t>根据爆炸性气体环境出现的频次和持续时间把危险场所分为 0区、1 区和 2 区。</w:t>
      </w:r>
    </w:p>
    <w:p w14:paraId="163181CF">
      <w:pPr>
        <w:pStyle w:val="67"/>
        <w:spacing w:before="312" w:after="312"/>
        <w:rPr>
          <w:rFonts w:hint="default"/>
        </w:rPr>
      </w:pPr>
      <w:bookmarkStart w:id="26" w:name="_Toc201066966"/>
      <w:r>
        <w:t>要求</w:t>
      </w:r>
      <w:bookmarkEnd w:id="26"/>
    </w:p>
    <w:p w14:paraId="044DABC8">
      <w:pPr>
        <w:pStyle w:val="68"/>
        <w:spacing w:before="156" w:after="156"/>
        <w:rPr>
          <w:rFonts w:hint="default"/>
        </w:rPr>
      </w:pPr>
      <w:bookmarkStart w:id="27" w:name="_Toc201066967"/>
      <w:r>
        <w:t>通用安全策略</w:t>
      </w:r>
      <w:bookmarkEnd w:id="27"/>
    </w:p>
    <w:p w14:paraId="32C3D95F">
      <w:pPr>
        <w:pStyle w:val="20"/>
        <w:ind w:firstLine="420"/>
        <w:rPr>
          <w:rFonts w:hint="default"/>
        </w:rPr>
      </w:pPr>
      <w:r>
        <w:t>由于燃料电池模块中有燃料和其他已经储备能量的储能物质（例如：易燃物质、加压介质、电能、机械能等），燃料电池模块制造商应对所有合理的可预见的危险进行评估，并出具风险分析报告，以确保：</w:t>
      </w:r>
    </w:p>
    <w:p w14:paraId="1E76D074">
      <w:pPr>
        <w:pStyle w:val="55"/>
        <w:rPr>
          <w:rFonts w:hint="default"/>
        </w:rPr>
      </w:pPr>
      <w:r>
        <w:t>识别燃料电池发电系统寿命期限内所有合理的可预见危险、危险状况和事件；</w:t>
      </w:r>
    </w:p>
    <w:p w14:paraId="4F27BBCB">
      <w:pPr>
        <w:pStyle w:val="55"/>
        <w:rPr>
          <w:rFonts w:hint="default"/>
        </w:rPr>
      </w:pPr>
      <w:r>
        <w:t>结合危险发生的可能性和预期严重性对各种危险的风险进行评估；</w:t>
      </w:r>
    </w:p>
    <w:p w14:paraId="425C49CA">
      <w:pPr>
        <w:pStyle w:val="55"/>
        <w:rPr>
          <w:rFonts w:hint="default"/>
        </w:rPr>
      </w:pPr>
      <w:r>
        <w:t>将评估风险的两个因素（可能性和严重性）消除或减少到不超过可接受的风险级别，通过：</w:t>
      </w:r>
    </w:p>
    <w:p w14:paraId="6987AB90">
      <w:pPr>
        <w:pStyle w:val="56"/>
        <w:numPr>
          <w:ilvl w:val="1"/>
          <w:numId w:val="19"/>
        </w:numPr>
        <w:rPr>
          <w:rFonts w:hint="default"/>
        </w:rPr>
      </w:pPr>
      <w:r>
        <w:t>结构或方法的自身安全设计；</w:t>
      </w:r>
    </w:p>
    <w:p w14:paraId="14CDA3B5">
      <w:pPr>
        <w:pStyle w:val="56"/>
        <w:rPr>
          <w:rFonts w:hint="default"/>
        </w:rPr>
      </w:pPr>
      <w:r>
        <w:t>采用被动控制（如安全隔板、排气阀、热阻断设备等）确保能量安全释放不危及周围环境，或采用安全相关控制功能；</w:t>
      </w:r>
    </w:p>
    <w:p w14:paraId="300E1BEA">
      <w:pPr>
        <w:pStyle w:val="56"/>
        <w:rPr>
          <w:rFonts w:hint="default"/>
        </w:rPr>
      </w:pPr>
      <w:r>
        <w:t>对1）和2）不能够减少的风险，贴示标签、警告或提供专业训练，在危险区域工作的人员应掌握这些措施。</w:t>
      </w:r>
    </w:p>
    <w:p w14:paraId="2851AC96">
      <w:pPr>
        <w:pStyle w:val="20"/>
        <w:ind w:firstLine="420"/>
        <w:rPr>
          <w:rFonts w:hint="default"/>
        </w:rPr>
      </w:pPr>
      <w:r>
        <w:t>为保证功能安全，应按以下示例确定设计要求的严重性级别、性能级别或控制功能级别：</w:t>
      </w:r>
    </w:p>
    <w:p w14:paraId="6056C265">
      <w:pPr>
        <w:pStyle w:val="53"/>
        <w:rPr>
          <w:rFonts w:hint="default"/>
        </w:rPr>
      </w:pPr>
      <w:r>
        <w:t>符合GB/T 5226.1的应用，同时满足GB 28526;</w:t>
      </w:r>
    </w:p>
    <w:p w14:paraId="7B6C769A">
      <w:pPr>
        <w:pStyle w:val="53"/>
        <w:rPr>
          <w:rFonts w:hint="default"/>
        </w:rPr>
      </w:pPr>
      <w:r>
        <w:t>符合GB 4706.1的应用，同时满足GB/T 14536.1；</w:t>
      </w:r>
    </w:p>
    <w:p w14:paraId="0B0EF0F4">
      <w:pPr>
        <w:pStyle w:val="53"/>
        <w:rPr>
          <w:rFonts w:hint="default"/>
        </w:rPr>
      </w:pPr>
      <w:r>
        <w:t>其他应用，满足GB/T 20438（所有部分）。</w:t>
      </w:r>
    </w:p>
    <w:p w14:paraId="573E6F9F">
      <w:pPr>
        <w:pStyle w:val="53"/>
        <w:rPr>
          <w:rFonts w:hint="default"/>
        </w:rPr>
      </w:pPr>
      <w:r>
        <w:t>以下标准可以指导失效模式影响分析（FMEA）和故障树分析方法：</w:t>
      </w:r>
    </w:p>
    <w:p w14:paraId="114CFC55">
      <w:pPr>
        <w:pStyle w:val="53"/>
        <w:rPr>
          <w:rFonts w:hint="default"/>
        </w:rPr>
      </w:pPr>
      <w:r>
        <w:t>GB/T 7826；</w:t>
      </w:r>
    </w:p>
    <w:p w14:paraId="51790CFD">
      <w:pPr>
        <w:pStyle w:val="20"/>
        <w:ind w:firstLine="420"/>
        <w:rPr>
          <w:rFonts w:hint="default"/>
        </w:rPr>
      </w:pPr>
      <w:r>
        <w:t>评估内容应包括所有以下可能风险：</w:t>
      </w:r>
    </w:p>
    <w:p w14:paraId="2BF42406">
      <w:pPr>
        <w:pStyle w:val="52"/>
        <w:rPr>
          <w:rFonts w:hint="default"/>
        </w:rPr>
      </w:pPr>
      <w:r>
        <w:t>燃料电池堆温度；</w:t>
      </w:r>
    </w:p>
    <w:p w14:paraId="5016B30D">
      <w:pPr>
        <w:pStyle w:val="52"/>
        <w:rPr>
          <w:rFonts w:hint="default"/>
        </w:rPr>
      </w:pPr>
      <w:r>
        <w:t>燃料电池堆和/或电池电压；</w:t>
      </w:r>
    </w:p>
    <w:p w14:paraId="11DFCE65">
      <w:pPr>
        <w:pStyle w:val="52"/>
        <w:rPr>
          <w:rFonts w:hint="default"/>
        </w:rPr>
      </w:pPr>
      <w:r>
        <w:t>加压部分压力。</w:t>
      </w:r>
    </w:p>
    <w:p w14:paraId="51FDB5E8">
      <w:pPr>
        <w:pStyle w:val="52"/>
        <w:rPr>
          <w:rFonts w:hint="default"/>
        </w:rPr>
      </w:pPr>
      <w:r>
        <w:t>此外，下列情况应格外加以注意：</w:t>
      </w:r>
    </w:p>
    <w:p w14:paraId="0D386E7C">
      <w:pPr>
        <w:pStyle w:val="52"/>
        <w:rPr>
          <w:rFonts w:hint="default"/>
        </w:rPr>
      </w:pPr>
      <w:r>
        <w:t>机械危险：锋利表面、绊倒危险、物体移动和不稳，材料强度，压力下的气体或液体；</w:t>
      </w:r>
    </w:p>
    <w:p w14:paraId="48F33F6C">
      <w:pPr>
        <w:pStyle w:val="52"/>
        <w:rPr>
          <w:rFonts w:hint="default"/>
        </w:rPr>
      </w:pPr>
      <w:r>
        <w:t>电气危险：接触带电部件、短路、高电压：</w:t>
      </w:r>
    </w:p>
    <w:p w14:paraId="36D4EACD">
      <w:pPr>
        <w:pStyle w:val="52"/>
        <w:rPr>
          <w:rFonts w:hint="default"/>
        </w:rPr>
      </w:pPr>
      <w:r>
        <w:t>EMC危险：燃料电池模块暴露在电磁环境中产生故障或因燃料电池模块电磁释放导致附近其他设备故障；</w:t>
      </w:r>
    </w:p>
    <w:p w14:paraId="214088C6">
      <w:pPr>
        <w:pStyle w:val="52"/>
        <w:rPr>
          <w:rFonts w:hint="default"/>
        </w:rPr>
      </w:pPr>
      <w:r>
        <w:t>热危险：高温表面、高温液体或气体排放、热疲劳；</w:t>
      </w:r>
    </w:p>
    <w:p w14:paraId="43CBE6A7">
      <w:pPr>
        <w:pStyle w:val="52"/>
        <w:rPr>
          <w:rFonts w:hint="default"/>
        </w:rPr>
      </w:pPr>
      <w:r>
        <w:t>火灾和爆炸危险：易燃气体或液体、正常或非正常运行条件下可能的易爆混合物、故障条件下可能的易爆混合物；</w:t>
      </w:r>
    </w:p>
    <w:p w14:paraId="005C5C87">
      <w:pPr>
        <w:pStyle w:val="52"/>
        <w:rPr>
          <w:rFonts w:hint="default"/>
        </w:rPr>
      </w:pPr>
      <w:r>
        <w:t>故障危险：因软件、控制电路或保护/安全部件失灵或错误生产或错误运行导致的不安全运行；</w:t>
      </w:r>
    </w:p>
    <w:p w14:paraId="725661EF">
      <w:pPr>
        <w:pStyle w:val="52"/>
        <w:rPr>
          <w:rFonts w:hint="default"/>
        </w:rPr>
      </w:pPr>
      <w:r>
        <w:t>材料和物质危险：材料老化、腐蚀、脆化、有毒物质的排放；</w:t>
      </w:r>
    </w:p>
    <w:p w14:paraId="76F8052F">
      <w:pPr>
        <w:pStyle w:val="52"/>
        <w:rPr>
          <w:rFonts w:hint="default"/>
        </w:rPr>
      </w:pPr>
      <w:r>
        <w:t>废物处理危险：有毒材料处置、回收、易燃气体或液体处置；</w:t>
      </w:r>
    </w:p>
    <w:p w14:paraId="23EBD1F0">
      <w:pPr>
        <w:pStyle w:val="52"/>
        <w:rPr>
          <w:rFonts w:hint="default"/>
        </w:rPr>
      </w:pPr>
      <w:r>
        <w:t>环境危险：热/冷、下雨、水淹、风、地震、外部起火、烟雾环境下的不安全操作。</w:t>
      </w:r>
    </w:p>
    <w:p w14:paraId="28E1B363">
      <w:pPr>
        <w:pStyle w:val="68"/>
        <w:spacing w:before="156" w:after="156"/>
        <w:rPr>
          <w:rFonts w:hint="default"/>
        </w:rPr>
      </w:pPr>
      <w:bookmarkStart w:id="28" w:name="_Toc201066968"/>
      <w:r>
        <w:t>设计要求</w:t>
      </w:r>
      <w:bookmarkEnd w:id="28"/>
    </w:p>
    <w:p w14:paraId="75ABB693">
      <w:pPr>
        <w:pStyle w:val="69"/>
        <w:spacing w:before="156" w:after="156"/>
      </w:pPr>
      <w:r>
        <w:t>通用要求</w:t>
      </w:r>
    </w:p>
    <w:p w14:paraId="57882EE5">
      <w:pPr>
        <w:pStyle w:val="123"/>
        <w:rPr>
          <w:rFonts w:hint="eastAsia"/>
        </w:rPr>
      </w:pPr>
      <w:r>
        <w:t>燃料电池模块制造商应根据风险评估进行设计。风险评估应符合IEC 60812和IEC 61508规定。燃料电池模块及 其所有零部件应：</w:t>
      </w:r>
    </w:p>
    <w:p w14:paraId="1E7BED05">
      <w:pPr>
        <w:pStyle w:val="55"/>
        <w:numPr>
          <w:ilvl w:val="0"/>
          <w:numId w:val="20"/>
        </w:numPr>
        <w:rPr>
          <w:rFonts w:hint="default"/>
        </w:rPr>
      </w:pPr>
      <w:r>
        <w:t>适合于预期使用时的温度、压力、流量、电压及电流范围；</w:t>
      </w:r>
    </w:p>
    <w:p w14:paraId="1340ACE4">
      <w:pPr>
        <w:pStyle w:val="55"/>
        <w:rPr>
          <w:rFonts w:hint="default"/>
        </w:rPr>
      </w:pPr>
      <w:r>
        <w:t>在预期使用中，能耐受燃料电池模块所处环境的各种作用、各种运行过程和其他条件对燃料电池模块的不良影响；</w:t>
      </w:r>
    </w:p>
    <w:p w14:paraId="333552AA">
      <w:pPr>
        <w:pStyle w:val="55"/>
        <w:rPr>
          <w:rFonts w:hint="default"/>
        </w:rPr>
      </w:pPr>
      <w:r>
        <w:t>燃料电池模块采用的材料的质量和厚度，配件、终端及各部件集成方法，应在合理寿命时间内，正常安装和使用条件下，结构和运行特性不会发生明显的改变。燃料电池模块所有零部件应能够适应终端用户产品正常使用可能的机械、化学和热力等条件。</w:t>
      </w:r>
    </w:p>
    <w:p w14:paraId="1FB10134">
      <w:pPr>
        <w:pStyle w:val="123"/>
        <w:rPr>
          <w:rFonts w:hint="eastAsia"/>
        </w:rPr>
      </w:pPr>
      <w:r>
        <w:t>如果燃料电池模块带有封装外壳，则外壳防护应根据燃料电池模块的不同使用环境，并按</w:t>
      </w:r>
      <w:r>
        <w:rPr>
          <w:rFonts w:hint="eastAsia"/>
        </w:rPr>
        <w:t>GB 4208</w:t>
      </w:r>
      <w:r>
        <w:t>的要求选择适当的防护等级并予以标志。当终端设备具有防护外壳时，IP00级也可接受。</w:t>
      </w:r>
    </w:p>
    <w:p w14:paraId="6487D944">
      <w:pPr>
        <w:pStyle w:val="101"/>
      </w:pPr>
      <w:r>
        <w:t>除另有规定外，本文件中的气体压力均指表压。</w:t>
      </w:r>
    </w:p>
    <w:p w14:paraId="4AA6FA71">
      <w:pPr>
        <w:pStyle w:val="69"/>
        <w:spacing w:before="156" w:after="156"/>
      </w:pPr>
      <w:r>
        <w:t>正常和非正常运行条件下行为</w:t>
      </w:r>
    </w:p>
    <w:p w14:paraId="02E29ABE">
      <w:pPr>
        <w:pStyle w:val="123"/>
        <w:rPr>
          <w:rFonts w:hint="eastAsia"/>
        </w:rPr>
      </w:pPr>
      <w:r>
        <w:t>燃料电池模块应按照制造商说明书的规定设计，在所有正常运行条件下燃料电池模块不会损坏。非正常运行条件应根据4.1的规定处理。</w:t>
      </w:r>
    </w:p>
    <w:p w14:paraId="4A572EC2">
      <w:pPr>
        <w:pStyle w:val="69"/>
        <w:spacing w:before="156" w:after="156"/>
      </w:pPr>
      <w:r>
        <w:t>泄露</w:t>
      </w:r>
    </w:p>
    <w:p w14:paraId="0DA9AA1D">
      <w:pPr>
        <w:pStyle w:val="123"/>
        <w:rPr>
          <w:rFonts w:hint="eastAsia"/>
        </w:rPr>
      </w:pPr>
      <w:r>
        <w:t>根据设计的不同，有可能会产生易燃气体或液体泄漏（试验见</w:t>
      </w:r>
      <w:r>
        <w:rPr>
          <w:rFonts w:hint="eastAsia"/>
        </w:rPr>
        <w:t>5.4</w:t>
      </w:r>
      <w:r>
        <w:t>）。气体泄漏率应纳入规范文件，以便于燃料电池系统集成商确定通风系统的最小通风能力、吹扫和通风流量要求[见</w:t>
      </w:r>
      <w:r>
        <w:rPr>
          <w:rFonts w:hint="eastAsia"/>
        </w:rPr>
        <w:t>7.4.1</w:t>
      </w:r>
      <w:r>
        <w:t>r)]。根据</w:t>
      </w:r>
      <w:r>
        <w:rPr>
          <w:rFonts w:hint="eastAsia"/>
        </w:rPr>
        <w:t>4.1</w:t>
      </w:r>
      <w:r>
        <w:t>，故障模式（渗漏）应作为风险评估内容之一。应根据</w:t>
      </w:r>
      <w:r>
        <w:rPr>
          <w:rFonts w:hint="eastAsia"/>
        </w:rPr>
        <w:t>4.1</w:t>
      </w:r>
      <w:r>
        <w:t>中给出的相关标准设计“电池电压监控”等措施。</w:t>
      </w:r>
    </w:p>
    <w:p w14:paraId="40EFD8A7">
      <w:pPr>
        <w:pStyle w:val="123"/>
        <w:rPr>
          <w:rFonts w:hint="eastAsia"/>
        </w:rPr>
      </w:pPr>
      <w:r>
        <w:t>若燃料电池模块不含渗漏保护装置，产品说明书应说明系统集成商必须提供防护设备或操作程序。</w:t>
      </w:r>
    </w:p>
    <w:p w14:paraId="4C574866">
      <w:pPr>
        <w:pStyle w:val="101"/>
      </w:pPr>
      <w:r>
        <w:t>危险场所分类见</w:t>
      </w:r>
      <w:bookmarkStart w:id="29" w:name="OLE_LINK4"/>
      <w:r>
        <w:t xml:space="preserve"> </w:t>
      </w:r>
      <w:bookmarkEnd w:id="29"/>
      <w:r>
        <w:t>GB 3836.14。</w:t>
      </w:r>
    </w:p>
    <w:p w14:paraId="4B8140B4">
      <w:pPr>
        <w:pStyle w:val="69"/>
        <w:spacing w:before="156" w:after="156"/>
      </w:pPr>
      <w:r>
        <w:t>加压操作</w:t>
      </w:r>
    </w:p>
    <w:p w14:paraId="389C1674">
      <w:pPr>
        <w:pStyle w:val="123"/>
        <w:rPr>
          <w:rFonts w:hint="eastAsia"/>
        </w:rPr>
      </w:pPr>
      <w:r>
        <w:t>如果燃料电池模块包括气密件和加压件，这些部件应符合国家规定。</w:t>
      </w:r>
    </w:p>
    <w:p w14:paraId="57162A8B">
      <w:pPr>
        <w:pStyle w:val="123"/>
        <w:rPr>
          <w:rFonts w:hint="eastAsia"/>
        </w:rPr>
      </w:pPr>
      <w:r>
        <w:t>应识别可能会对模块外部造成损害的加压操作条件（见</w:t>
      </w:r>
      <w:r>
        <w:rPr>
          <w:rFonts w:hint="eastAsia"/>
        </w:rPr>
        <w:t>4.1</w:t>
      </w:r>
      <w:r>
        <w:t>）并将信息传达给系统集成商。</w:t>
      </w:r>
    </w:p>
    <w:p w14:paraId="086AFE80">
      <w:pPr>
        <w:pStyle w:val="101"/>
      </w:pPr>
      <w:r>
        <w:t>PEFC（质子交换膜燃料电池模块）不需要特别考虑压力因素。PEFC电堆的尺寸、材料选择和制造规范主要基于满足电堆静态、动态和/或其他运行特性所需的足够强度、刚度和稳定性要求。比如，设计使用同轴力挤压器件，器件在损坏前产生泄漏。</w:t>
      </w:r>
    </w:p>
    <w:p w14:paraId="0BB22C7A">
      <w:pPr>
        <w:pStyle w:val="69"/>
        <w:spacing w:before="156" w:after="156"/>
      </w:pPr>
      <w:r>
        <w:t>起火和点燃</w:t>
      </w:r>
    </w:p>
    <w:p w14:paraId="4D60EBBB">
      <w:pPr>
        <w:pStyle w:val="70"/>
        <w:spacing w:before="156" w:after="156"/>
      </w:pPr>
      <w:r>
        <w:t>通则</w:t>
      </w:r>
    </w:p>
    <w:p w14:paraId="1A40539B">
      <w:pPr>
        <w:pStyle w:val="123"/>
        <w:rPr>
          <w:rFonts w:hint="eastAsia"/>
        </w:rPr>
      </w:pPr>
      <w:r>
        <w:t>应对燃料电池模块采取保护措施（如通风、气体检测等），以确保燃料电池模块内部泄漏或对外泄漏的气体</w:t>
      </w:r>
      <w:r>
        <w:rPr>
          <w:rFonts w:hint="eastAsia"/>
        </w:rPr>
        <w:t>不</w:t>
      </w:r>
      <w:r>
        <w:t>达到其爆炸浓度。</w:t>
      </w:r>
    </w:p>
    <w:p w14:paraId="30D41FA6">
      <w:pPr>
        <w:pStyle w:val="123"/>
        <w:rPr>
          <w:rFonts w:hint="eastAsia"/>
        </w:rPr>
      </w:pPr>
      <w:r>
        <w:t>应由燃料电池模块制造商</w:t>
      </w:r>
      <w:r>
        <w:rPr>
          <w:rFonts w:hint="eastAsia"/>
        </w:rPr>
        <w:t>提供保护</w:t>
      </w:r>
      <w:r>
        <w:t>措施的设计规范（如要求的通风速率），并在说明书中加以说明，以便燃料电池系统集成制造商采取预防措施，确保安全。</w:t>
      </w:r>
    </w:p>
    <w:p w14:paraId="54CF01F0">
      <w:pPr>
        <w:pStyle w:val="123"/>
        <w:rPr>
          <w:rFonts w:hint="eastAsia"/>
        </w:rPr>
      </w:pPr>
      <w:r>
        <w:t>在分级易燃气体环境中的零部件和材料应使用阻燃材料。在切断电力以及燃料和氧化剂后，这种材料应不会继续燃烧。材料阻燃级别V-0、V-1或V-2</w:t>
      </w:r>
      <w:r>
        <w:rPr>
          <w:rFonts w:hint="eastAsia"/>
        </w:rPr>
        <w:t>的选择见GB/T 5169系列标准</w:t>
      </w:r>
      <w:r>
        <w:t>。</w:t>
      </w:r>
    </w:p>
    <w:p w14:paraId="248A3DD7">
      <w:pPr>
        <w:pStyle w:val="123"/>
        <w:rPr>
          <w:rFonts w:hint="eastAsia"/>
        </w:rPr>
      </w:pPr>
      <w:r>
        <w:rPr>
          <w:rFonts w:hint="eastAsia"/>
        </w:rPr>
        <w:t>4.1</w:t>
      </w:r>
      <w:r>
        <w:t>给出的应用标准要求应考虑耐热和防火。燃料电池模块使用的塑料部件应满足</w:t>
      </w:r>
      <w:r>
        <w:rPr>
          <w:rFonts w:hint="eastAsia"/>
        </w:rPr>
        <w:t>5.18</w:t>
      </w:r>
      <w:r>
        <w:t>规定的滞燃试验要求。</w:t>
      </w:r>
    </w:p>
    <w:p w14:paraId="667318ED">
      <w:pPr>
        <w:pStyle w:val="70"/>
        <w:spacing w:before="156" w:after="156"/>
      </w:pPr>
      <w:r>
        <w:t>免除项</w:t>
      </w:r>
    </w:p>
    <w:p w14:paraId="6890224C">
      <w:pPr>
        <w:pStyle w:val="123"/>
        <w:rPr>
          <w:rFonts w:hint="eastAsia"/>
        </w:rPr>
      </w:pPr>
      <w:r>
        <w:t>通常认为燃料电池电堆内膜或其他材料占燃料电池模块质量不到10%，因其数量有限，因此无火焰蔓延等级要求。如果使用此类材料，产品说明书应有这部分说明以引起系统集成商注意。</w:t>
      </w:r>
    </w:p>
    <w:p w14:paraId="7C80B484">
      <w:pPr>
        <w:pStyle w:val="123"/>
        <w:rPr>
          <w:rFonts w:hint="eastAsia"/>
        </w:rPr>
      </w:pPr>
      <w:r>
        <w:t>如果燃料电池模块内任何易燃混合物可能出现的位置的实际温度高于自燃温度，气体燃料泄漏到氧化剂将立即导致易燃气体的氧化，反之亦然。因此无爆炸性气体浓度累积。</w:t>
      </w:r>
    </w:p>
    <w:p w14:paraId="709A3645">
      <w:pPr>
        <w:pStyle w:val="123"/>
        <w:rPr>
          <w:rFonts w:hint="eastAsia"/>
        </w:rPr>
      </w:pPr>
      <w:r>
        <w:t>当高温燃料电池的温度低于自燃温度，燃料电池模块应当转换到安全状态（如通过吹扫）。</w:t>
      </w:r>
    </w:p>
    <w:p w14:paraId="6720DAE4">
      <w:pPr>
        <w:pStyle w:val="69"/>
        <w:spacing w:before="156" w:after="156"/>
      </w:pPr>
      <w:r>
        <w:t>防护措施</w:t>
      </w:r>
    </w:p>
    <w:p w14:paraId="727A5755">
      <w:pPr>
        <w:pStyle w:val="70"/>
        <w:spacing w:before="156" w:after="156"/>
      </w:pPr>
      <w:r>
        <w:t>通则</w:t>
      </w:r>
    </w:p>
    <w:p w14:paraId="5A755768">
      <w:pPr>
        <w:pStyle w:val="123"/>
        <w:rPr>
          <w:rFonts w:hint="eastAsia"/>
        </w:rPr>
      </w:pPr>
      <w:r>
        <w:t>安全控制系统零件失灵[见</w:t>
      </w:r>
      <w:r>
        <w:rPr>
          <w:rFonts w:hint="eastAsia"/>
        </w:rPr>
        <w:t>4.1</w:t>
      </w:r>
      <w:r>
        <w:t>c)]应能触发燃料电池模块受控关机。为确保满足要求的防护</w:t>
      </w:r>
      <w:r>
        <w:rPr>
          <w:rFonts w:hint="eastAsia"/>
        </w:rPr>
        <w:t>措施</w:t>
      </w:r>
      <w:r>
        <w:t>级别（安全完整级别、性能级别或控制功能级别），安全相关设计应与</w:t>
      </w:r>
      <w:r>
        <w:rPr>
          <w:rFonts w:hint="eastAsia"/>
        </w:rPr>
        <w:t>4.1</w:t>
      </w:r>
      <w:r>
        <w:t>中给出的相关标准一致。</w:t>
      </w:r>
    </w:p>
    <w:p w14:paraId="62A7109D">
      <w:pPr>
        <w:pStyle w:val="101"/>
      </w:pPr>
      <w:r>
        <w:t>当立即关机危险性更大时，比如燃料电池模块紧急动力系统的气体探测器失灵，可以延迟受控关机，或者允许完成运行循环后再关机。</w:t>
      </w:r>
    </w:p>
    <w:p w14:paraId="3E353D17">
      <w:pPr>
        <w:pStyle w:val="70"/>
        <w:spacing w:before="156" w:after="156"/>
      </w:pPr>
      <w:r>
        <w:t>限制气体泄漏的保护措施</w:t>
      </w:r>
    </w:p>
    <w:p w14:paraId="1B755DF8">
      <w:pPr>
        <w:pStyle w:val="123"/>
        <w:rPr>
          <w:rFonts w:hint="eastAsia"/>
        </w:rPr>
      </w:pPr>
      <w:r>
        <w:t>如果检测和限制气体泄漏的保护措施是模块的一部分，则保护措施停止运行的气体泄漏限值应由模块制造商规定，见</w:t>
      </w:r>
      <w:r>
        <w:rPr>
          <w:rFonts w:hint="eastAsia"/>
        </w:rPr>
        <w:t>7.4.4</w:t>
      </w:r>
      <w:r>
        <w:t>。</w:t>
      </w:r>
    </w:p>
    <w:p w14:paraId="00A2B8EE">
      <w:pPr>
        <w:pStyle w:val="69"/>
        <w:spacing w:before="156" w:after="156"/>
      </w:pPr>
      <w:r>
        <w:t>管路和管件配装</w:t>
      </w:r>
    </w:p>
    <w:p w14:paraId="7D9D4106">
      <w:pPr>
        <w:pStyle w:val="70"/>
        <w:spacing w:before="156" w:after="156"/>
      </w:pPr>
      <w:r>
        <w:t>通则</w:t>
      </w:r>
    </w:p>
    <w:p w14:paraId="14D476B9">
      <w:pPr>
        <w:pStyle w:val="123"/>
        <w:rPr>
          <w:rFonts w:hint="eastAsia"/>
        </w:rPr>
      </w:pPr>
      <w:r>
        <w:t>易燃气体运输管路和接头螺纹连接应符合</w:t>
      </w:r>
      <w:r>
        <w:rPr>
          <w:rFonts w:hint="eastAsia"/>
        </w:rPr>
        <w:t>GB/T 30597</w:t>
      </w:r>
      <w:r>
        <w:t>，所有其他接头应为焊接，或至少在制造商指定密封面上进行匹配的连接。用于燃料气和氧气线的连接件应为磨口连接或法兰接头或者有适应燃料气体密封填充料的压力接头。</w:t>
      </w:r>
    </w:p>
    <w:p w14:paraId="35DB59AB">
      <w:pPr>
        <w:pStyle w:val="123"/>
        <w:rPr>
          <w:rFonts w:hint="eastAsia"/>
        </w:rPr>
      </w:pPr>
      <w:r>
        <w:t>管路内部表面应彻底清洗，以除去松散颗粒，管路两端应小心处理，消除杂物、毛刺。</w:t>
      </w:r>
    </w:p>
    <w:p w14:paraId="3B0BD362">
      <w:pPr>
        <w:pStyle w:val="123"/>
        <w:rPr>
          <w:rFonts w:hint="eastAsia"/>
        </w:rPr>
      </w:pPr>
      <w:r>
        <w:t>管路材料应满足预期输送的温度、压力的要求，并免于遭受流体介质对管材机械性能劣化的影响。选用柔性管路及相关配件输送气体时，该柔性管路应适用于气体输送。氢气管路应特别考虑，如老化、脆化、微孔等。</w:t>
      </w:r>
    </w:p>
    <w:p w14:paraId="4FB91D68">
      <w:pPr>
        <w:pStyle w:val="101"/>
      </w:pPr>
      <w:r>
        <w:rPr>
          <w:rFonts w:ascii="Times New Roman" w:hAnsi="Times New Roman"/>
        </w:rPr>
        <w:t>以下标准可以指导选材</w:t>
      </w:r>
      <w:r>
        <w:rPr>
          <w:rFonts w:ascii="Times New Roman"/>
        </w:rPr>
        <w:t>：</w:t>
      </w:r>
      <w:r>
        <w:t>GB/T 528、GB/T 3512、GB/T 9575、GB/T 5563、GB/T 3683、GB/T 5564以及GB/T 15329。</w:t>
      </w:r>
    </w:p>
    <w:p w14:paraId="0BAA1193">
      <w:pPr>
        <w:pStyle w:val="70"/>
        <w:spacing w:before="156" w:after="156"/>
      </w:pPr>
      <w:r>
        <w:t>非金属管路系统</w:t>
      </w:r>
    </w:p>
    <w:p w14:paraId="1670F25F">
      <w:pPr>
        <w:pStyle w:val="123"/>
        <w:rPr>
          <w:rFonts w:hint="eastAsia"/>
        </w:rPr>
      </w:pPr>
      <w:r>
        <w:t>在下列情况下，可使用塑料和橡胶管材、管路和组件。</w:t>
      </w:r>
    </w:p>
    <w:p w14:paraId="060EE24F">
      <w:pPr>
        <w:pStyle w:val="123"/>
        <w:rPr>
          <w:rFonts w:hint="eastAsia"/>
        </w:rPr>
      </w:pPr>
      <w:r>
        <w:t>非金属管路系统应适应最高运行温度和最高运行压力的共同作用，不应释放出对燃料电池模块有害的物质，并能与使用、维修和保养时所接触的其他材料、化学品相容，应具有足够的机械强度，满足</w:t>
      </w:r>
      <w:r>
        <w:rPr>
          <w:rFonts w:hint="eastAsia"/>
        </w:rPr>
        <w:t>5.6</w:t>
      </w:r>
      <w:r>
        <w:t>和</w:t>
      </w:r>
      <w:r>
        <w:rPr>
          <w:rFonts w:hint="eastAsia"/>
        </w:rPr>
        <w:t>5.7</w:t>
      </w:r>
      <w:r>
        <w:t>规定的耐压要求。</w:t>
      </w:r>
    </w:p>
    <w:p w14:paraId="040CA23B">
      <w:pPr>
        <w:pStyle w:val="123"/>
        <w:rPr>
          <w:rFonts w:hint="eastAsia"/>
        </w:rPr>
      </w:pPr>
      <w:r>
        <w:t>必要时应加防护套管或外罩来防止燃料电池模块上的塑料或橡胶管件受到机械损伤。</w:t>
      </w:r>
    </w:p>
    <w:p w14:paraId="73B86761">
      <w:pPr>
        <w:pStyle w:val="123"/>
        <w:rPr>
          <w:rFonts w:hint="eastAsia"/>
        </w:rPr>
      </w:pPr>
      <w:r>
        <w:t>所有安装有输送易燃气体的塑料或橡胶管件的腔室，都应防止可能的过热。如有这种过热的可能时，应告知燃料电池系统集成制造商这一部位允许的最高温度，以便他们提供一个控制系统，腔室温度应比输送燃料管件所用材料的最低热变形温度下限低10℃以上，否则应切断燃料输入。</w:t>
      </w:r>
    </w:p>
    <w:p w14:paraId="0462EC0D">
      <w:pPr>
        <w:pStyle w:val="123"/>
        <w:rPr>
          <w:rFonts w:hint="eastAsia"/>
        </w:rPr>
      </w:pPr>
      <w:r>
        <w:t>用于危险区域（如爆炸性环境）内的塑料或橡胶材料应是能导电的，除非设计上能做到避免静电电荷累积，其应符合</w:t>
      </w:r>
      <w:r>
        <w:rPr>
          <w:rFonts w:hint="eastAsia"/>
        </w:rPr>
        <w:t>GB/T 3836.1</w:t>
      </w:r>
      <w:r>
        <w:t>的要求。</w:t>
      </w:r>
    </w:p>
    <w:p w14:paraId="62067348">
      <w:pPr>
        <w:pStyle w:val="70"/>
        <w:spacing w:before="156" w:after="156"/>
      </w:pPr>
      <w:r>
        <w:t>金属管路系统</w:t>
      </w:r>
    </w:p>
    <w:p w14:paraId="2C8172B7">
      <w:pPr>
        <w:pStyle w:val="123"/>
        <w:rPr>
          <w:rFonts w:hint="eastAsia"/>
        </w:rPr>
      </w:pPr>
      <w:r>
        <w:t>根据</w:t>
      </w:r>
      <w:r>
        <w:rPr>
          <w:rFonts w:hint="eastAsia"/>
        </w:rPr>
        <w:t>5.6</w:t>
      </w:r>
      <w:r>
        <w:t>和</w:t>
      </w:r>
      <w:r>
        <w:rPr>
          <w:rFonts w:hint="eastAsia"/>
        </w:rPr>
        <w:t>5.7</w:t>
      </w:r>
      <w:r>
        <w:t>规定的耐压要求，金属管路系统应适应最高运行温度和压力的共同作用，不应析出对燃料电池模块有害的物质，并能与使用、维修和保养时所接触的其他材料、化学品兼容。金属管道系统应具有足够的机械完整性和足够的机械强度。</w:t>
      </w:r>
    </w:p>
    <w:p w14:paraId="7D1A9CFC">
      <w:pPr>
        <w:pStyle w:val="52"/>
        <w:rPr>
          <w:rFonts w:hint="default"/>
        </w:rPr>
      </w:pPr>
      <w:r>
        <w:t>成型弯管不可因加工成形导致失效并应符合以下要求：</w:t>
      </w:r>
    </w:p>
    <w:p w14:paraId="01056CD5">
      <w:pPr>
        <w:pStyle w:val="52"/>
        <w:rPr>
          <w:rFonts w:hint="default"/>
        </w:rPr>
      </w:pPr>
      <w:r>
        <w:t>只可用专用折弯设备及工艺制作弯头；</w:t>
      </w:r>
    </w:p>
    <w:p w14:paraId="482CCF77">
      <w:pPr>
        <w:pStyle w:val="52"/>
        <w:rPr>
          <w:rFonts w:hint="default"/>
        </w:rPr>
      </w:pPr>
      <w:r>
        <w:t>所有弯头光滑，不可产生变形、裂缝或其他明显的机械损伤；</w:t>
      </w:r>
    </w:p>
    <w:p w14:paraId="7A1FE8E3">
      <w:pPr>
        <w:pStyle w:val="52"/>
        <w:rPr>
          <w:rFonts w:hint="default"/>
        </w:rPr>
      </w:pPr>
      <w:r>
        <w:t>管道纵向焊缝在弯头中轴附近；</w:t>
      </w:r>
    </w:p>
    <w:p w14:paraId="35363DE8">
      <w:pPr>
        <w:pStyle w:val="52"/>
        <w:rPr>
          <w:rFonts w:hint="default"/>
        </w:rPr>
      </w:pPr>
      <w:r>
        <w:t>弯头内半径不得低于制造商规定的最小半径。</w:t>
      </w:r>
    </w:p>
    <w:p w14:paraId="7CF1C76B">
      <w:pPr>
        <w:pStyle w:val="69"/>
        <w:spacing w:before="156" w:after="156"/>
      </w:pPr>
      <w:r>
        <w:t>电气元件</w:t>
      </w:r>
    </w:p>
    <w:p w14:paraId="627C416A">
      <w:pPr>
        <w:pStyle w:val="123"/>
        <w:rPr>
          <w:rFonts w:hint="eastAsia"/>
        </w:rPr>
      </w:pPr>
      <w:r>
        <w:t>电气系统设计和结构，以及电气电子设备应用，包括电机和封装，应满足相关电子产品应用标准。例如：</w:t>
      </w:r>
    </w:p>
    <w:p w14:paraId="53E66EED">
      <w:pPr>
        <w:pStyle w:val="53"/>
        <w:rPr>
          <w:rFonts w:hint="default"/>
        </w:rPr>
      </w:pPr>
      <w:r>
        <w:t>GB 4706.1（例如，民用/商用和轻工业）；</w:t>
      </w:r>
    </w:p>
    <w:p w14:paraId="4A3A57C2">
      <w:pPr>
        <w:pStyle w:val="53"/>
        <w:rPr>
          <w:rFonts w:hint="default"/>
        </w:rPr>
      </w:pPr>
      <w:r>
        <w:t>GB 5226.1（例如，重工业）；</w:t>
      </w:r>
    </w:p>
    <w:p w14:paraId="3B458944">
      <w:pPr>
        <w:pStyle w:val="53"/>
        <w:rPr>
          <w:rFonts w:hint="default"/>
        </w:rPr>
      </w:pPr>
      <w:r>
        <w:t>GB 4943.1（例如，电信）；</w:t>
      </w:r>
    </w:p>
    <w:p w14:paraId="75AFBCBB">
      <w:pPr>
        <w:pStyle w:val="53"/>
        <w:rPr>
          <w:rFonts w:hint="default"/>
        </w:rPr>
      </w:pPr>
      <w:r>
        <w:t>GB 7260.4（例如，UPS）。</w:t>
      </w:r>
    </w:p>
    <w:p w14:paraId="71E859A0">
      <w:pPr>
        <w:pStyle w:val="123"/>
        <w:rPr>
          <w:rFonts w:hint="eastAsia"/>
        </w:rPr>
      </w:pPr>
      <w:r>
        <w:t>应提供技术规范以选择恰当的应用。</w:t>
      </w:r>
    </w:p>
    <w:p w14:paraId="79C34D87">
      <w:pPr>
        <w:pStyle w:val="123"/>
        <w:rPr>
          <w:rFonts w:hint="eastAsia"/>
        </w:rPr>
      </w:pPr>
      <w:r>
        <w:t>燃料电池设计者应考虑燃料电池特定的下列问题：</w:t>
      </w:r>
    </w:p>
    <w:p w14:paraId="54821E5E">
      <w:pPr>
        <w:pStyle w:val="53"/>
        <w:rPr>
          <w:rFonts w:hint="default"/>
        </w:rPr>
      </w:pPr>
      <w:r>
        <w:t>燃料电池模块剩余电荷；</w:t>
      </w:r>
    </w:p>
    <w:p w14:paraId="1ED3CC66">
      <w:pPr>
        <w:pStyle w:val="53"/>
        <w:rPr>
          <w:rFonts w:hint="default"/>
        </w:rPr>
      </w:pPr>
      <w:r>
        <w:t>电池间的能量危险。</w:t>
      </w:r>
    </w:p>
    <w:p w14:paraId="3E552D23">
      <w:pPr>
        <w:pStyle w:val="123"/>
        <w:rPr>
          <w:rFonts w:hint="eastAsia"/>
        </w:rPr>
      </w:pPr>
      <w:r>
        <w:t>告知系统集成商燃料电池电气元件合适的运行环境条件[见</w:t>
      </w:r>
      <w:r>
        <w:rPr>
          <w:rFonts w:hint="eastAsia"/>
        </w:rPr>
        <w:t>7.4.1</w:t>
      </w:r>
      <w:r>
        <w:t xml:space="preserve"> i)]：运行和储存的环境温度、湿度范围。</w:t>
      </w:r>
    </w:p>
    <w:p w14:paraId="64B16783">
      <w:pPr>
        <w:pStyle w:val="123"/>
        <w:rPr>
          <w:rFonts w:hint="eastAsia"/>
        </w:rPr>
      </w:pPr>
      <w:r>
        <w:t>若系统集成商提供电子元件，应告知必要技术规范，以保证安全。</w:t>
      </w:r>
    </w:p>
    <w:p w14:paraId="04DCF797">
      <w:pPr>
        <w:pStyle w:val="123"/>
        <w:rPr>
          <w:rFonts w:hint="eastAsia"/>
        </w:rPr>
      </w:pPr>
      <w:r>
        <w:t>低于易燃气体自燃温度下运行封闭燃料电池模块，不受</w:t>
      </w:r>
      <w:r>
        <w:rPr>
          <w:rFonts w:hint="eastAsia"/>
        </w:rPr>
        <w:t>5.14</w:t>
      </w:r>
      <w:r>
        <w:t>所述易燃浓度限制。位于封装内的电子元件应符合</w:t>
      </w:r>
      <w:r>
        <w:rPr>
          <w:rFonts w:hint="eastAsia"/>
        </w:rPr>
        <w:t>GB 3836.14</w:t>
      </w:r>
      <w:r>
        <w:t>规定的危险场所分类要求，使用</w:t>
      </w:r>
      <w:r>
        <w:rPr>
          <w:rFonts w:hint="eastAsia"/>
        </w:rPr>
        <w:t>GB 3836</w:t>
      </w:r>
      <w:r>
        <w:t>系列标准规定的保护技术。</w:t>
      </w:r>
    </w:p>
    <w:p w14:paraId="2C131E05">
      <w:pPr>
        <w:pStyle w:val="69"/>
        <w:spacing w:before="156" w:after="156"/>
      </w:pPr>
      <w:r>
        <w:t>终端和电气连接</w:t>
      </w:r>
    </w:p>
    <w:p w14:paraId="74736833">
      <w:pPr>
        <w:pStyle w:val="123"/>
        <w:rPr>
          <w:rFonts w:hint="eastAsia"/>
        </w:rPr>
      </w:pPr>
      <w:r>
        <w:t>电源连接到外部电路，应</w:t>
      </w:r>
      <w:r>
        <w:rPr>
          <w:rFonts w:hint="eastAsia"/>
        </w:rPr>
        <w:t>符合以下规定</w:t>
      </w:r>
      <w:r>
        <w:t>：</w:t>
      </w:r>
    </w:p>
    <w:p w14:paraId="0A716A30">
      <w:pPr>
        <w:pStyle w:val="55"/>
        <w:numPr>
          <w:ilvl w:val="0"/>
          <w:numId w:val="21"/>
        </w:numPr>
        <w:rPr>
          <w:rFonts w:hint="default"/>
        </w:rPr>
      </w:pPr>
      <w:r>
        <w:t>对外电路供电的电气连接件应满足下述要求：</w:t>
      </w:r>
    </w:p>
    <w:p w14:paraId="3C035814">
      <w:pPr>
        <w:pStyle w:val="55"/>
        <w:rPr>
          <w:rFonts w:hint="default"/>
        </w:rPr>
      </w:pPr>
      <w:r>
        <w:t>固定于装置，无松动的可能性；</w:t>
      </w:r>
    </w:p>
    <w:p w14:paraId="6756CA49">
      <w:pPr>
        <w:pStyle w:val="55"/>
        <w:rPr>
          <w:rFonts w:hint="default"/>
        </w:rPr>
      </w:pPr>
      <w:r>
        <w:t>导体不得滑脱；</w:t>
      </w:r>
    </w:p>
    <w:p w14:paraId="079B3641">
      <w:pPr>
        <w:pStyle w:val="55"/>
        <w:rPr>
          <w:rFonts w:hint="default"/>
        </w:rPr>
      </w:pPr>
      <w:r>
        <w:t>正常触碰不会影响导体的使用功能；</w:t>
      </w:r>
    </w:p>
    <w:p w14:paraId="687D0605">
      <w:pPr>
        <w:pStyle w:val="55"/>
        <w:rPr>
          <w:rFonts w:hint="default"/>
        </w:rPr>
      </w:pPr>
      <w:r>
        <w:t>正常紧固时不会造成导体的传向、扭曲或永久变形；</w:t>
      </w:r>
    </w:p>
    <w:p w14:paraId="1F5CE6AE">
      <w:pPr>
        <w:pStyle w:val="55"/>
        <w:rPr>
          <w:rFonts w:hint="default"/>
        </w:rPr>
      </w:pPr>
      <w:r>
        <w:t>导电连接件应有防护措施，不可裸露；</w:t>
      </w:r>
    </w:p>
    <w:p w14:paraId="4A0A5429">
      <w:pPr>
        <w:pStyle w:val="55"/>
        <w:rPr>
          <w:rFonts w:hint="default"/>
        </w:rPr>
      </w:pPr>
      <w:r>
        <w:t>应采取防腐措施，使金属表面不发生腐蚀且相互连接的金属件之间不应发生化学腐蚀；</w:t>
      </w:r>
    </w:p>
    <w:p w14:paraId="094B9685">
      <w:pPr>
        <w:pStyle w:val="55"/>
        <w:rPr>
          <w:rFonts w:hint="default"/>
        </w:rPr>
      </w:pPr>
      <w:r>
        <w:t>接线端子和电气连接件应符合电力负荷的要求，母线端子标出正负极。</w:t>
      </w:r>
    </w:p>
    <w:p w14:paraId="33DA15D4">
      <w:pPr>
        <w:pStyle w:val="123"/>
        <w:rPr>
          <w:rFonts w:hint="eastAsia"/>
        </w:rPr>
      </w:pPr>
      <w:r>
        <w:t>燃料电池模块终端符合</w:t>
      </w:r>
      <w:r>
        <w:rPr>
          <w:rFonts w:hint="eastAsia"/>
        </w:rPr>
        <w:t>GB/T 18290</w:t>
      </w:r>
      <w:r>
        <w:t>（所有部分）规定。</w:t>
      </w:r>
    </w:p>
    <w:p w14:paraId="5084319E">
      <w:pPr>
        <w:pStyle w:val="69"/>
        <w:spacing w:before="156" w:after="156"/>
      </w:pPr>
      <w:r>
        <w:t>带电零部件</w:t>
      </w:r>
    </w:p>
    <w:p w14:paraId="7A705ECD">
      <w:pPr>
        <w:pStyle w:val="123"/>
        <w:rPr>
          <w:rFonts w:hint="eastAsia"/>
        </w:rPr>
      </w:pPr>
      <w:r>
        <w:t>制造商的技术文件应根据</w:t>
      </w:r>
      <w:r>
        <w:rPr>
          <w:rFonts w:hint="eastAsia"/>
        </w:rPr>
        <w:t>4.2.8</w:t>
      </w:r>
      <w:r>
        <w:t>规定的相关应用标准规定，文件中需明确说明：</w:t>
      </w:r>
    </w:p>
    <w:p w14:paraId="43F1C799">
      <w:pPr>
        <w:pStyle w:val="55"/>
        <w:numPr>
          <w:ilvl w:val="0"/>
          <w:numId w:val="22"/>
        </w:numPr>
        <w:rPr>
          <w:rFonts w:hint="default"/>
        </w:rPr>
      </w:pPr>
      <w:r>
        <w:t>易接近的非载流金属部件，不与带电部件分开，但符合安全超低电压（SELV）要求的部件除外：</w:t>
      </w:r>
    </w:p>
    <w:p w14:paraId="2D830C6E">
      <w:pPr>
        <w:pStyle w:val="56"/>
        <w:numPr>
          <w:ilvl w:val="1"/>
          <w:numId w:val="23"/>
        </w:numPr>
        <w:rPr>
          <w:rFonts w:hint="default"/>
        </w:rPr>
      </w:pPr>
      <w:r>
        <w:t>Ⅰ类结构（含PE）的基本绝缘</w:t>
      </w:r>
    </w:p>
    <w:p w14:paraId="17809541">
      <w:pPr>
        <w:pStyle w:val="56"/>
        <w:rPr>
          <w:rFonts w:hint="default"/>
        </w:rPr>
      </w:pPr>
      <w:r>
        <w:t>Ⅱ类结构的增强绝缘；</w:t>
      </w:r>
    </w:p>
    <w:p w14:paraId="3AEAA86B">
      <w:pPr>
        <w:pStyle w:val="55"/>
        <w:numPr>
          <w:ilvl w:val="0"/>
          <w:numId w:val="22"/>
        </w:numPr>
        <w:rPr>
          <w:rFonts w:hint="default"/>
        </w:rPr>
      </w:pPr>
      <w:r>
        <w:t>未达到SELV和满足SELV的带电部件之间不满足增强绝缘要求的易接近部件；</w:t>
      </w:r>
    </w:p>
    <w:p w14:paraId="574BE77D">
      <w:pPr>
        <w:pStyle w:val="55"/>
        <w:numPr>
          <w:ilvl w:val="0"/>
          <w:numId w:val="22"/>
        </w:numPr>
        <w:rPr>
          <w:rFonts w:hint="default"/>
        </w:rPr>
      </w:pPr>
      <w:r>
        <w:t>短路时会产生高电流危险的可接近带电部件，以及应预防的意外短路情况；</w:t>
      </w:r>
    </w:p>
    <w:p w14:paraId="15FC7F5A">
      <w:pPr>
        <w:pStyle w:val="55"/>
        <w:numPr>
          <w:ilvl w:val="0"/>
          <w:numId w:val="22"/>
        </w:numPr>
        <w:rPr>
          <w:rFonts w:hint="default"/>
        </w:rPr>
      </w:pPr>
      <w:r>
        <w:t>系统关闭后由于残余电压而存在危险的带电部分；</w:t>
      </w:r>
    </w:p>
    <w:p w14:paraId="12AE6A7A">
      <w:pPr>
        <w:pStyle w:val="55"/>
        <w:numPr>
          <w:ilvl w:val="0"/>
          <w:numId w:val="22"/>
        </w:numPr>
        <w:rPr>
          <w:rFonts w:hint="default"/>
        </w:rPr>
      </w:pPr>
      <w:r>
        <w:t>燃料电池系统集成制造商应采取防止电击措施。</w:t>
      </w:r>
    </w:p>
    <w:p w14:paraId="48378870">
      <w:pPr>
        <w:pStyle w:val="55"/>
        <w:numPr>
          <w:ilvl w:val="0"/>
          <w:numId w:val="22"/>
        </w:numPr>
        <w:rPr>
          <w:rFonts w:hint="default"/>
        </w:rPr>
      </w:pPr>
      <w:r>
        <w:t>燃料电池系统集成商应有责任保护这些带电部件，以防电击。</w:t>
      </w:r>
    </w:p>
    <w:p w14:paraId="1579FA6B">
      <w:pPr>
        <w:pStyle w:val="69"/>
        <w:spacing w:before="156" w:after="156"/>
      </w:pPr>
      <w:r>
        <w:t>绝缘材料及绝缘强度</w:t>
      </w:r>
    </w:p>
    <w:p w14:paraId="0388AA86">
      <w:pPr>
        <w:pStyle w:val="123"/>
        <w:rPr>
          <w:rFonts w:hint="eastAsia"/>
        </w:rPr>
      </w:pPr>
      <w:r>
        <w:t>应根据</w:t>
      </w:r>
      <w:r>
        <w:rPr>
          <w:rFonts w:hint="eastAsia"/>
        </w:rPr>
        <w:t>4.2.8</w:t>
      </w:r>
      <w:r>
        <w:t>给出的电气设备电压分级应用标准设计燃料电池模块中所有带电部件与非带电金属部件的绝缘。</w:t>
      </w:r>
    </w:p>
    <w:p w14:paraId="2D028D61">
      <w:pPr>
        <w:pStyle w:val="123"/>
        <w:rPr>
          <w:rFonts w:hint="eastAsia"/>
        </w:rPr>
      </w:pPr>
      <w:r>
        <w:t>对如压缩强度等会影响材料机械特性的功能表现，应以高出正常运行最高温度至少20K或者5%（以高者为准）设计，但不得低于80 ℃。</w:t>
      </w:r>
    </w:p>
    <w:p w14:paraId="55F68CA4">
      <w:pPr>
        <w:pStyle w:val="123"/>
        <w:rPr>
          <w:rFonts w:hint="eastAsia"/>
        </w:rPr>
      </w:pPr>
      <w:r>
        <w:t>判定应基于材料制造商规定的材料特性。</w:t>
      </w:r>
    </w:p>
    <w:p w14:paraId="6E7E5793">
      <w:pPr>
        <w:pStyle w:val="69"/>
        <w:spacing w:before="156" w:after="156"/>
      </w:pPr>
      <w:r>
        <w:t>连接</w:t>
      </w:r>
    </w:p>
    <w:p w14:paraId="7FF2A719">
      <w:pPr>
        <w:pStyle w:val="123"/>
        <w:rPr>
          <w:rFonts w:hint="eastAsia"/>
        </w:rPr>
      </w:pPr>
      <w:r>
        <w:t>除了与</w:t>
      </w:r>
      <w:r>
        <w:rPr>
          <w:rFonts w:hint="eastAsia"/>
        </w:rPr>
        <w:t>4.2.8</w:t>
      </w:r>
      <w:r>
        <w:t>给出的相关标准不同的情况外，以下内容适用。</w:t>
      </w:r>
    </w:p>
    <w:p w14:paraId="1B015E4C">
      <w:pPr>
        <w:pStyle w:val="123"/>
        <w:rPr>
          <w:rFonts w:hint="eastAsia"/>
        </w:rPr>
      </w:pPr>
      <w:r>
        <w:t>应连接至等电位点以避免易接触非载流金属部件因漏电导致的电击或者触电危险。</w:t>
      </w:r>
    </w:p>
    <w:p w14:paraId="1E8B58F6">
      <w:pPr>
        <w:pStyle w:val="123"/>
        <w:rPr>
          <w:rFonts w:hint="eastAsia"/>
        </w:rPr>
      </w:pPr>
      <w:r>
        <w:t>连接应防腐以保证良好的电接触。</w:t>
      </w:r>
    </w:p>
    <w:p w14:paraId="62E0968E">
      <w:pPr>
        <w:pStyle w:val="123"/>
        <w:rPr>
          <w:rFonts w:hint="eastAsia"/>
        </w:rPr>
      </w:pPr>
      <w:r>
        <w:t>导体应设计为防松动和扭曲，并能保持接触压力。</w:t>
      </w:r>
    </w:p>
    <w:p w14:paraId="5CFCA079">
      <w:pPr>
        <w:pStyle w:val="123"/>
        <w:rPr>
          <w:rFonts w:hint="eastAsia"/>
        </w:rPr>
      </w:pPr>
      <w:r>
        <w:t>金属部件之间不得有电化学腐蚀。针对使用、存储和运输等情况，通过适当的电镀或涂层工艺达到耐电化学腐蚀。</w:t>
      </w:r>
    </w:p>
    <w:p w14:paraId="62A52875">
      <w:pPr>
        <w:pStyle w:val="69"/>
        <w:spacing w:before="156" w:after="156"/>
      </w:pPr>
      <w:r>
        <w:t>监控要求</w:t>
      </w:r>
    </w:p>
    <w:p w14:paraId="750DFCEC">
      <w:pPr>
        <w:pStyle w:val="123"/>
        <w:rPr>
          <w:rFonts w:hint="eastAsia"/>
        </w:rPr>
      </w:pPr>
      <w:r>
        <w:t>为确保燃料电池模块的安全，宜提供相关参数的监控措施，如：</w:t>
      </w:r>
    </w:p>
    <w:p w14:paraId="34ACE392">
      <w:pPr>
        <w:pStyle w:val="123"/>
        <w:rPr>
          <w:rFonts w:hint="eastAsia"/>
        </w:rPr>
      </w:pPr>
      <w:r>
        <w:t>燃料电池模块温度；</w:t>
      </w:r>
    </w:p>
    <w:p w14:paraId="67A31900">
      <w:pPr>
        <w:pStyle w:val="123"/>
        <w:rPr>
          <w:rFonts w:hint="eastAsia"/>
        </w:rPr>
      </w:pPr>
      <w:r>
        <w:t>燃料电池模块和/或单电池的电压。</w:t>
      </w:r>
    </w:p>
    <w:p w14:paraId="77030158">
      <w:pPr>
        <w:pStyle w:val="123"/>
        <w:rPr>
          <w:rFonts w:hint="eastAsia"/>
        </w:rPr>
      </w:pPr>
      <w:r>
        <w:t>监控点的位置由燃料电池模块制造商规定并向燃料电池系统集成制造商加以说明。</w:t>
      </w:r>
    </w:p>
    <w:p w14:paraId="49577FD5">
      <w:pPr>
        <w:pStyle w:val="123"/>
        <w:rPr>
          <w:rFonts w:hint="eastAsia"/>
        </w:rPr>
      </w:pPr>
      <w:r>
        <w:t>在用其他方式对燃料电池模块提供安全运行保障的情况下，这些方式应</w:t>
      </w:r>
      <w:r>
        <w:rPr>
          <w:rFonts w:hint="eastAsia"/>
        </w:rPr>
        <w:t>具有</w:t>
      </w:r>
      <w:r>
        <w:t>对温度及电压监控等效的安全保障能力。</w:t>
      </w:r>
    </w:p>
    <w:p w14:paraId="3CCFF9C0">
      <w:pPr>
        <w:pStyle w:val="69"/>
        <w:spacing w:before="156" w:after="156"/>
      </w:pPr>
      <w:r>
        <w:t>冲击与振动</w:t>
      </w:r>
    </w:p>
    <w:p w14:paraId="11AD1FC2">
      <w:pPr>
        <w:pStyle w:val="123"/>
        <w:rPr>
          <w:rFonts w:hint="eastAsia"/>
        </w:rPr>
      </w:pPr>
      <w:r>
        <w:t>制造商文件应包含燃料电池模块设计所能承受的冲击与振动极限。</w:t>
      </w:r>
    </w:p>
    <w:p w14:paraId="39A80342">
      <w:pPr>
        <w:pStyle w:val="68"/>
        <w:spacing w:before="156" w:after="156"/>
        <w:rPr>
          <w:rFonts w:hint="default"/>
        </w:rPr>
      </w:pPr>
      <w:bookmarkStart w:id="30" w:name="_Toc201066969"/>
      <w:r>
        <w:t>船舶规范要求</w:t>
      </w:r>
      <w:bookmarkEnd w:id="30"/>
    </w:p>
    <w:p w14:paraId="7D91D423">
      <w:pPr>
        <w:pStyle w:val="69"/>
        <w:spacing w:before="156" w:after="156"/>
      </w:pPr>
      <w:r>
        <w:t>通则</w:t>
      </w:r>
    </w:p>
    <w:p w14:paraId="5E8448C3">
      <w:pPr>
        <w:pStyle w:val="123"/>
        <w:rPr>
          <w:rFonts w:hint="eastAsia"/>
        </w:rPr>
      </w:pPr>
      <w:r>
        <w:rPr>
          <w:rFonts w:hint="eastAsia"/>
        </w:rPr>
        <w:t>除本文件中4.1～4.2的要求外，用于船舶的燃料电池模块应符合《钢质海船入级规范》第三篇、第四篇以及第七篇的相关要求，同时符合《船舶应用燃料电池发电装置指南》的相关要求。</w:t>
      </w:r>
    </w:p>
    <w:p w14:paraId="13E83909">
      <w:pPr>
        <w:pStyle w:val="123"/>
        <w:rPr>
          <w:rFonts w:hint="eastAsia"/>
        </w:rPr>
      </w:pPr>
      <w:r>
        <w:rPr>
          <w:rFonts w:hint="eastAsia"/>
        </w:rPr>
        <w:t>燃料涉氢的燃料电池模块应符合《氢燃料电池动力船舶技术与检验暂行规则》相关要求，燃料涉醇类的燃料电池模块应符合《船舶应用甲醇乙醇燃料指南》以及《醇燃料动力船舶技术与检验暂行规则》相关要求。</w:t>
      </w:r>
    </w:p>
    <w:p w14:paraId="4EE0B9BA">
      <w:pPr>
        <w:pStyle w:val="123"/>
        <w:rPr>
          <w:rFonts w:hint="eastAsia"/>
        </w:rPr>
      </w:pPr>
      <w:r>
        <w:rPr>
          <w:rFonts w:hint="eastAsia"/>
        </w:rPr>
        <w:t>涉及焊接工艺的燃料电池模块，其焊接材料与工艺应符合《材料与焊接规范》的相关要求。</w:t>
      </w:r>
    </w:p>
    <w:p w14:paraId="1E41FBE6">
      <w:pPr>
        <w:pStyle w:val="69"/>
        <w:spacing w:before="156" w:after="156"/>
      </w:pPr>
      <w:r>
        <w:t>入级要求</w:t>
      </w:r>
    </w:p>
    <w:p w14:paraId="64696C89">
      <w:pPr>
        <w:pStyle w:val="123"/>
        <w:rPr>
          <w:rFonts w:hint="eastAsia"/>
        </w:rPr>
      </w:pPr>
      <w:r>
        <w:rPr>
          <w:rFonts w:hint="eastAsia"/>
        </w:rPr>
        <w:t>燃料电池模块入级应符合《钢质海船入级规范》第一篇以及《E23 氢燃料电池》的相关要求。</w:t>
      </w:r>
    </w:p>
    <w:p w14:paraId="3B75B6A3">
      <w:pPr>
        <w:pStyle w:val="68"/>
        <w:spacing w:before="156" w:after="156"/>
        <w:rPr>
          <w:rFonts w:hint="default"/>
        </w:rPr>
      </w:pPr>
      <w:bookmarkStart w:id="31" w:name="_Toc201066970"/>
      <w:r>
        <w:t>技术指标要求</w:t>
      </w:r>
      <w:bookmarkEnd w:id="31"/>
    </w:p>
    <w:p w14:paraId="2DEC5026">
      <w:pPr>
        <w:pStyle w:val="69"/>
        <w:spacing w:before="156" w:after="156"/>
      </w:pPr>
      <w:r>
        <w:t>通则</w:t>
      </w:r>
    </w:p>
    <w:p w14:paraId="5DCB9FD7">
      <w:pPr>
        <w:pStyle w:val="123"/>
        <w:rPr>
          <w:rFonts w:hint="eastAsia"/>
        </w:rPr>
      </w:pPr>
      <w:r>
        <w:rPr>
          <w:rFonts w:hint="eastAsia"/>
        </w:rPr>
        <w:t>制造商应</w:t>
      </w:r>
      <w:r>
        <w:t>按照</w:t>
      </w:r>
      <w:r>
        <w:rPr>
          <w:rFonts w:hint="eastAsia"/>
        </w:rPr>
        <w:t>GD019-2024中1.3的应用环境分类与型式认可试验项以及《E23 氢燃料电池》中第7章的型式试验项，确认燃料电池模块的适用环境以及型式试验项，对于适用的型式试验项，其技术指标应满足4.4.2～4.4.15的相关要求。</w:t>
      </w:r>
    </w:p>
    <w:p w14:paraId="67BFD35E">
      <w:pPr>
        <w:pStyle w:val="69"/>
        <w:spacing w:before="156" w:after="156"/>
      </w:pPr>
      <w:r>
        <w:t>气密性要求</w:t>
      </w:r>
    </w:p>
    <w:p w14:paraId="451CBC4D">
      <w:pPr>
        <w:pStyle w:val="123"/>
        <w:rPr>
          <w:rFonts w:hint="eastAsia"/>
        </w:rPr>
      </w:pPr>
      <w:r>
        <w:rPr>
          <w:rFonts w:hint="eastAsia"/>
        </w:rPr>
        <w:t>制造商应</w:t>
      </w:r>
      <w:r>
        <w:t>按照本文件的测试方法 [气体泄漏试验（</w:t>
      </w:r>
      <w:r>
        <w:rPr>
          <w:rFonts w:hint="eastAsia"/>
        </w:rPr>
        <w:t>5.4</w:t>
      </w:r>
      <w:r>
        <w:t>）与气体内窜试验（</w:t>
      </w:r>
      <w:r>
        <w:rPr>
          <w:rFonts w:hint="eastAsia"/>
        </w:rPr>
        <w:t>5.12</w:t>
      </w:r>
      <w:r>
        <w:t>）]对燃料电池模块进行气密性测试，结果应满足制造商在技术文件中对泄漏速率的要求</w:t>
      </w:r>
      <w:r>
        <w:rPr>
          <w:rFonts w:hint="eastAsia"/>
        </w:rPr>
        <w:t>，其中气体泄漏速率不得高于10mL/min @ 30kPa（氮气），气体内窜速率不得高于</w:t>
      </w:r>
      <w:r>
        <w:rPr>
          <w:rFonts w:hint="eastAsia" w:cs="宋体"/>
          <w:spacing w:val="20"/>
          <w:szCs w:val="21"/>
        </w:rPr>
        <w:t>5mL/min@10kPa</w:t>
      </w:r>
      <w:r>
        <w:rPr>
          <w:rFonts w:hint="eastAsia"/>
        </w:rPr>
        <w:t>（氮气）</w:t>
      </w:r>
      <w:r>
        <w:t>；</w:t>
      </w:r>
    </w:p>
    <w:p w14:paraId="7A70B92D">
      <w:pPr>
        <w:pStyle w:val="123"/>
        <w:rPr>
          <w:rFonts w:hint="eastAsia"/>
        </w:rPr>
      </w:pPr>
      <w:r>
        <w:t>对于</w:t>
      </w:r>
      <w:r>
        <w:rPr>
          <w:rFonts w:hint="eastAsia"/>
        </w:rPr>
        <w:t>含</w:t>
      </w:r>
      <w:r>
        <w:t>封装外壳</w:t>
      </w:r>
      <w:r>
        <w:rPr>
          <w:rFonts w:hint="eastAsia"/>
        </w:rPr>
        <w:t>且设有</w:t>
      </w:r>
      <w:r>
        <w:t>集中安全通风系统和吹扫程序的燃料电池模块，</w:t>
      </w:r>
      <w:r>
        <w:rPr>
          <w:rFonts w:hint="eastAsia"/>
        </w:rPr>
        <w:t>应</w:t>
      </w:r>
      <w:r>
        <w:t>按照本文件的测试方法</w:t>
      </w:r>
      <w:r>
        <w:rPr>
          <w:rFonts w:hint="eastAsia"/>
        </w:rPr>
        <w:t>进行</w:t>
      </w:r>
      <w:r>
        <w:t>可燃气体浓度试验（</w:t>
      </w:r>
      <w:r>
        <w:rPr>
          <w:rFonts w:hint="eastAsia"/>
        </w:rPr>
        <w:t>5.13</w:t>
      </w:r>
      <w:r>
        <w:t>）</w:t>
      </w:r>
      <w:r>
        <w:rPr>
          <w:rFonts w:hint="eastAsia"/>
        </w:rPr>
        <w:t>，通风出口可燃物浓度</w:t>
      </w:r>
      <w:r>
        <w:t>应低于</w:t>
      </w:r>
      <w:r>
        <w:rPr>
          <w:rFonts w:hint="eastAsia"/>
        </w:rPr>
        <w:t>LFL</w:t>
      </w:r>
      <w:r>
        <w:t>的25%。</w:t>
      </w:r>
    </w:p>
    <w:p w14:paraId="517CE011">
      <w:pPr>
        <w:pStyle w:val="69"/>
        <w:spacing w:before="156" w:after="156"/>
      </w:pPr>
      <w:r>
        <w:t>压力耐受要求</w:t>
      </w:r>
    </w:p>
    <w:p w14:paraId="3EACDB98">
      <w:pPr>
        <w:pStyle w:val="123"/>
        <w:rPr>
          <w:rFonts w:hint="eastAsia"/>
        </w:rPr>
      </w:pPr>
      <w:r>
        <w:rPr>
          <w:rFonts w:hint="eastAsia"/>
        </w:rPr>
        <w:t>制造商应</w:t>
      </w:r>
      <w:r>
        <w:t>按照本文件的测试方法</w:t>
      </w:r>
      <w:r>
        <w:rPr>
          <w:rFonts w:hint="eastAsia"/>
        </w:rPr>
        <w:t>[</w:t>
      </w:r>
      <w:r>
        <w:t>许可工作压力试验（</w:t>
      </w:r>
      <w:r>
        <w:rPr>
          <w:rFonts w:hint="eastAsia"/>
        </w:rPr>
        <w:t>5.6）</w:t>
      </w:r>
      <w:r>
        <w:t>冷却系统耐压试验（</w:t>
      </w:r>
      <w:r>
        <w:rPr>
          <w:rFonts w:hint="eastAsia"/>
        </w:rPr>
        <w:t>5.7）过压试验（5.9）</w:t>
      </w:r>
      <w:r>
        <w:t>和压差试验（</w:t>
      </w:r>
      <w:r>
        <w:rPr>
          <w:rFonts w:hint="eastAsia"/>
        </w:rPr>
        <w:t>5.13</w:t>
      </w:r>
      <w:r>
        <w:t>）</w:t>
      </w:r>
      <w:r>
        <w:rPr>
          <w:rFonts w:hint="eastAsia"/>
        </w:rPr>
        <w:t>]进行耐压试验</w:t>
      </w:r>
      <w:r>
        <w:t>，燃料电池模块及其零部件不应出现开裂、永久变形或其他物理损伤。</w:t>
      </w:r>
    </w:p>
    <w:p w14:paraId="087133E2">
      <w:pPr>
        <w:pStyle w:val="69"/>
        <w:spacing w:before="156" w:after="156"/>
      </w:pPr>
      <w:r>
        <w:t>绝缘性能要求</w:t>
      </w:r>
    </w:p>
    <w:p w14:paraId="79E01A86">
      <w:pPr>
        <w:pStyle w:val="123"/>
        <w:rPr>
          <w:rFonts w:hint="eastAsia"/>
        </w:rPr>
      </w:pPr>
      <w:r>
        <w:t>燃料电池模块中带电部分和不带电的导电部分之间的所有绝缘结构设计，都应符合电气绝缘结构有关标准的相应要求。影响结构件功能的材料的机械特性（如抗拉强度）应得到保证，当其所在部位温度比正常运行温度的最高值还高20℃（但不应低于80℃）时，仍应符合设计要求。</w:t>
      </w:r>
    </w:p>
    <w:p w14:paraId="25667414">
      <w:pPr>
        <w:pStyle w:val="123"/>
        <w:rPr>
          <w:rFonts w:hint="eastAsia"/>
        </w:rPr>
      </w:pPr>
      <w:r>
        <w:rPr>
          <w:rFonts w:hint="eastAsia"/>
        </w:rPr>
        <w:t>制造商应</w:t>
      </w:r>
      <w:r>
        <w:t>按照本文件的测试方法</w:t>
      </w:r>
      <w:r>
        <w:rPr>
          <w:rFonts w:hint="eastAsia"/>
        </w:rPr>
        <w:t>[</w:t>
      </w:r>
      <w:r>
        <w:t>绝缘强度试验（</w:t>
      </w:r>
      <w:r>
        <w:rPr>
          <w:rFonts w:hint="eastAsia"/>
        </w:rPr>
        <w:t>5.10</w:t>
      </w:r>
      <w:r>
        <w:t>）与绝缘（静态）试验（</w:t>
      </w:r>
      <w:r>
        <w:rPr>
          <w:rFonts w:hint="eastAsia"/>
        </w:rPr>
        <w:t>5.11</w:t>
      </w:r>
      <w:r>
        <w:t>）</w:t>
      </w:r>
      <w:r>
        <w:rPr>
          <w:rFonts w:hint="eastAsia"/>
        </w:rPr>
        <w:t>]</w:t>
      </w:r>
      <w:r>
        <w:t>进行</w:t>
      </w:r>
      <w:r>
        <w:rPr>
          <w:rFonts w:hint="eastAsia"/>
        </w:rPr>
        <w:t>绝缘</w:t>
      </w:r>
      <w:r>
        <w:t>试验，燃料电池模块在加注冷却液且冷却液处于冷态不循环状态下，正负极对地绝缘</w:t>
      </w:r>
      <w:r>
        <w:rPr>
          <w:rFonts w:hint="eastAsia"/>
        </w:rPr>
        <w:t>电</w:t>
      </w:r>
      <w:r>
        <w:t>阻值不应低于100 MΩ，如果在绝缘试验中不能满足要求，则应停止后续试验，且应向系统集成商提供试验数据，由系统集成商采取减少危险的措施。</w:t>
      </w:r>
    </w:p>
    <w:p w14:paraId="667FDE3B">
      <w:pPr>
        <w:pStyle w:val="69"/>
        <w:spacing w:before="156" w:after="156"/>
      </w:pPr>
      <w:r>
        <w:t>非正常条件运行要求</w:t>
      </w:r>
    </w:p>
    <w:p w14:paraId="527D7BC3">
      <w:pPr>
        <w:pStyle w:val="123"/>
        <w:rPr>
          <w:rFonts w:hint="eastAsia"/>
        </w:rPr>
      </w:pPr>
      <w:r>
        <w:rPr>
          <w:rFonts w:hint="eastAsia"/>
        </w:rPr>
        <w:t>各种非正常条件下燃料电池，模块的故障模式[正常条件</w:t>
      </w:r>
      <w:r>
        <w:t>试验（</w:t>
      </w:r>
      <w:r>
        <w:rPr>
          <w:rFonts w:hint="eastAsia"/>
        </w:rPr>
        <w:t>5.15</w:t>
      </w:r>
      <w:r>
        <w:t>）</w:t>
      </w:r>
      <w:r>
        <w:rPr>
          <w:rFonts w:hint="eastAsia"/>
        </w:rPr>
        <w:t>]不应对人造成危险或者对燃料电池模块外部造成损害。针对非正常条件的防护，可通过燃料电池模块保护控制或通过终端应用的防护机制实现。其中，燃料电池模块应能在额定运行状态下承受冷却中断至少30s而不出现危险。</w:t>
      </w:r>
    </w:p>
    <w:p w14:paraId="3301CB1F">
      <w:pPr>
        <w:pStyle w:val="69"/>
        <w:spacing w:before="156" w:after="156"/>
      </w:pPr>
      <w:r>
        <w:t>性能要求</w:t>
      </w:r>
    </w:p>
    <w:p w14:paraId="66DA3196">
      <w:pPr>
        <w:pStyle w:val="123"/>
        <w:rPr>
          <w:rFonts w:hint="eastAsia"/>
        </w:rPr>
      </w:pPr>
      <w:r>
        <w:t>燃料电池模块按制造商</w:t>
      </w:r>
      <w:r>
        <w:rPr>
          <w:rFonts w:hint="eastAsia"/>
        </w:rPr>
        <w:t>规定</w:t>
      </w:r>
      <w:r>
        <w:t>的</w:t>
      </w:r>
      <w:r>
        <w:rPr>
          <w:rFonts w:hint="eastAsia"/>
        </w:rPr>
        <w:t>工作</w:t>
      </w:r>
      <w:r>
        <w:t>条件运行时，其</w:t>
      </w:r>
      <w:r>
        <w:rPr>
          <w:rFonts w:hint="eastAsia"/>
        </w:rPr>
        <w:t>运行参数</w:t>
      </w:r>
      <w:r>
        <w:t>[正常运行试验（</w:t>
      </w:r>
      <w:r>
        <w:rPr>
          <w:rFonts w:hint="eastAsia"/>
        </w:rPr>
        <w:t>5.5</w:t>
      </w:r>
      <w:r>
        <w:t>）]</w:t>
      </w:r>
      <w:r>
        <w:rPr>
          <w:rFonts w:hint="eastAsia"/>
        </w:rPr>
        <w:t>不应偏离</w:t>
      </w:r>
      <w:r>
        <w:t>制造商在技术文件中规定</w:t>
      </w:r>
      <w:r>
        <w:rPr>
          <w:rFonts w:hint="eastAsia"/>
        </w:rPr>
        <w:t>的范围</w:t>
      </w:r>
      <w:r>
        <w:t>。</w:t>
      </w:r>
    </w:p>
    <w:p w14:paraId="5BAD32B7">
      <w:pPr>
        <w:pStyle w:val="123"/>
        <w:rPr>
          <w:rFonts w:hint="eastAsia"/>
        </w:rPr>
      </w:pPr>
      <w:r>
        <w:t>燃料电池模块</w:t>
      </w:r>
      <w:r>
        <w:rPr>
          <w:rFonts w:hint="eastAsia"/>
        </w:rPr>
        <w:t>应</w:t>
      </w:r>
      <w:r>
        <w:t>按照本文件的测试方法</w:t>
      </w:r>
      <w:r>
        <w:rPr>
          <w:rFonts w:hint="eastAsia"/>
        </w:rPr>
        <w:t>进行</w:t>
      </w:r>
      <w:r>
        <w:t>持续或短时电功率试验（</w:t>
      </w:r>
      <w:r>
        <w:rPr>
          <w:rFonts w:hint="eastAsia"/>
        </w:rPr>
        <w:t>5.12</w:t>
      </w:r>
      <w:r>
        <w:t>），燃料电池模块</w:t>
      </w:r>
      <w:r>
        <w:rPr>
          <w:rFonts w:hint="eastAsia"/>
        </w:rPr>
        <w:t>应能在制造商标称的峰值功率或峰值电流下连续运行至少5分钟，</w:t>
      </w:r>
      <w:r>
        <w:t>燃料电池模块不应出现开裂、永久变形或其他物理损伤。</w:t>
      </w:r>
    </w:p>
    <w:p w14:paraId="1E7F6D8D">
      <w:pPr>
        <w:pStyle w:val="69"/>
        <w:spacing w:before="156" w:after="156"/>
      </w:pPr>
      <w:r>
        <w:t>冲击与振动</w:t>
      </w:r>
    </w:p>
    <w:p w14:paraId="199A7040">
      <w:pPr>
        <w:pStyle w:val="123"/>
        <w:rPr>
          <w:rFonts w:hint="eastAsia"/>
        </w:rPr>
      </w:pPr>
      <w:r>
        <w:t>燃料电池模块应按制造商</w:t>
      </w:r>
      <w:r>
        <w:rPr>
          <w:rFonts w:hint="eastAsia"/>
        </w:rPr>
        <w:t>提供</w:t>
      </w:r>
      <w:r>
        <w:t>的冲击及振动</w:t>
      </w:r>
      <w:r>
        <w:rPr>
          <w:rFonts w:hint="eastAsia"/>
        </w:rPr>
        <w:t>条件</w:t>
      </w:r>
      <w:r>
        <w:t>进</w:t>
      </w:r>
      <w:r>
        <w:rPr>
          <w:rFonts w:hint="eastAsia"/>
        </w:rPr>
        <w:t>行</w:t>
      </w:r>
      <w:r>
        <w:t>冲击与振动试验（</w:t>
      </w:r>
      <w:r>
        <w:rPr>
          <w:rFonts w:hint="eastAsia"/>
        </w:rPr>
        <w:t>5.3</w:t>
      </w:r>
      <w:r>
        <w:t>）</w:t>
      </w:r>
      <w:r>
        <w:rPr>
          <w:rFonts w:hint="eastAsia"/>
        </w:rPr>
        <w:t>,在试验过程中燃料电池模块应无异常和受损现象，试验后应能正常工作。</w:t>
      </w:r>
    </w:p>
    <w:p w14:paraId="54D0F94D">
      <w:pPr>
        <w:pStyle w:val="123"/>
        <w:rPr>
          <w:rFonts w:hint="eastAsia"/>
        </w:rPr>
      </w:pPr>
      <w:r>
        <w:rPr>
          <w:rFonts w:hint="eastAsia"/>
        </w:rPr>
        <w:t>其中</w:t>
      </w:r>
      <w:r>
        <w:t>燃料电池模块</w:t>
      </w:r>
      <w:r>
        <w:rPr>
          <w:rFonts w:hint="eastAsia"/>
        </w:rPr>
        <w:t>应能适应GD019-2024中表2.7.3（2）规定的一般振动条件（2 Hz～100 Hz，0.7g加速度）。</w:t>
      </w:r>
    </w:p>
    <w:p w14:paraId="6FF8E5B2">
      <w:pPr>
        <w:pStyle w:val="69"/>
        <w:spacing w:before="156" w:after="156"/>
      </w:pPr>
      <w:r>
        <w:t>倾斜和摇摆要求</w:t>
      </w:r>
    </w:p>
    <w:p w14:paraId="3A90DEFE">
      <w:pPr>
        <w:pStyle w:val="123"/>
        <w:rPr>
          <w:rFonts w:hint="eastAsia"/>
        </w:rPr>
      </w:pPr>
      <w:r>
        <w:t>燃料电池模块</w:t>
      </w:r>
      <w:r>
        <w:rPr>
          <w:rFonts w:hint="eastAsia"/>
        </w:rPr>
        <w:t>应</w:t>
      </w:r>
      <w:r>
        <w:t>按照本文件的测试方法</w:t>
      </w:r>
      <w:r>
        <w:rPr>
          <w:rFonts w:hint="eastAsia"/>
        </w:rPr>
        <w:t>进行</w:t>
      </w:r>
      <w:r>
        <w:t>倾斜和摇摆试验（</w:t>
      </w:r>
      <w:r>
        <w:rPr>
          <w:rFonts w:hint="eastAsia"/>
        </w:rPr>
        <w:t>5.16.1</w:t>
      </w:r>
      <w:r>
        <w:t>），</w:t>
      </w:r>
      <w:r>
        <w:rPr>
          <w:rFonts w:hint="eastAsia"/>
        </w:rPr>
        <w:t>在试验进行过程中和试验后，</w:t>
      </w:r>
      <w:r>
        <w:t>燃料电池模块</w:t>
      </w:r>
      <w:r>
        <w:rPr>
          <w:rFonts w:hint="eastAsia"/>
        </w:rPr>
        <w:t>均应能正常工作，且无异常和受损现象</w:t>
      </w:r>
      <w:r>
        <w:t>。</w:t>
      </w:r>
    </w:p>
    <w:p w14:paraId="62C77D87">
      <w:pPr>
        <w:pStyle w:val="69"/>
        <w:spacing w:before="156" w:after="156"/>
      </w:pPr>
      <w:r>
        <w:t>高低温环境要求</w:t>
      </w:r>
    </w:p>
    <w:p w14:paraId="1A279A48">
      <w:pPr>
        <w:pStyle w:val="123"/>
        <w:rPr>
          <w:rFonts w:hint="eastAsia"/>
        </w:rPr>
      </w:pPr>
      <w:r>
        <w:t>燃料电池模块应按制造商</w:t>
      </w:r>
      <w:r>
        <w:rPr>
          <w:rFonts w:hint="eastAsia"/>
        </w:rPr>
        <w:t>提供的适用</w:t>
      </w:r>
      <w:r>
        <w:t>温度条件进行高温试验（</w:t>
      </w:r>
      <w:r>
        <w:rPr>
          <w:rFonts w:hint="eastAsia"/>
        </w:rPr>
        <w:t>5.16.2</w:t>
      </w:r>
      <w:r>
        <w:t>）</w:t>
      </w:r>
      <w:r>
        <w:rPr>
          <w:rFonts w:hint="eastAsia"/>
        </w:rPr>
        <w:t>与</w:t>
      </w:r>
      <w:r>
        <w:t>低温试验（</w:t>
      </w:r>
      <w:r>
        <w:rPr>
          <w:rFonts w:hint="eastAsia"/>
        </w:rPr>
        <w:t>5.16.3</w:t>
      </w:r>
      <w:r>
        <w:t>），</w:t>
      </w:r>
      <w:r>
        <w:rPr>
          <w:rFonts w:hint="eastAsia"/>
        </w:rPr>
        <w:t>在试验进行过程中和试验后，</w:t>
      </w:r>
      <w:r>
        <w:t>燃料电池模块</w:t>
      </w:r>
      <w:r>
        <w:rPr>
          <w:rFonts w:hint="eastAsia"/>
        </w:rPr>
        <w:t>均应能正常工作，且无异常和受损现象</w:t>
      </w:r>
      <w:r>
        <w:t>。</w:t>
      </w:r>
    </w:p>
    <w:p w14:paraId="7C5687C1">
      <w:pPr>
        <w:pStyle w:val="123"/>
        <w:rPr>
          <w:rFonts w:hint="eastAsia"/>
        </w:rPr>
      </w:pPr>
      <w:r>
        <w:rPr>
          <w:rFonts w:hint="eastAsia"/>
        </w:rPr>
        <w:t>其中</w:t>
      </w:r>
      <w:r>
        <w:t>燃料电池模块</w:t>
      </w:r>
      <w:r>
        <w:rPr>
          <w:rFonts w:hint="eastAsia"/>
        </w:rPr>
        <w:t>最低允许工作环境温度应不高于5℃，最高允许工作环境温度应不低于70℃。</w:t>
      </w:r>
    </w:p>
    <w:p w14:paraId="1EA301E2">
      <w:pPr>
        <w:pStyle w:val="69"/>
        <w:spacing w:before="156" w:after="156"/>
      </w:pPr>
      <w:r>
        <w:t>湿热环境要求</w:t>
      </w:r>
    </w:p>
    <w:p w14:paraId="6E8BFDDC">
      <w:pPr>
        <w:pStyle w:val="123"/>
        <w:rPr>
          <w:rFonts w:hint="eastAsia"/>
        </w:rPr>
      </w:pPr>
      <w:r>
        <w:t>燃料电池模块应按制造商</w:t>
      </w:r>
      <w:r>
        <w:rPr>
          <w:rFonts w:hint="eastAsia"/>
        </w:rPr>
        <w:t>提供</w:t>
      </w:r>
      <w:r>
        <w:t>的</w:t>
      </w:r>
      <w:r>
        <w:rPr>
          <w:rFonts w:hint="eastAsia"/>
        </w:rPr>
        <w:t>适用</w:t>
      </w:r>
      <w:r>
        <w:t>湿热</w:t>
      </w:r>
      <w:r>
        <w:rPr>
          <w:rFonts w:hint="eastAsia"/>
        </w:rPr>
        <w:t>条件进行</w:t>
      </w:r>
      <w:r>
        <w:t>交变湿热试验（</w:t>
      </w:r>
      <w:r>
        <w:rPr>
          <w:rFonts w:hint="eastAsia"/>
        </w:rPr>
        <w:t>5.16.4</w:t>
      </w:r>
      <w:r>
        <w:t>）</w:t>
      </w:r>
      <w:r>
        <w:rPr>
          <w:rFonts w:hint="eastAsia"/>
        </w:rPr>
        <w:t>与恒定</w:t>
      </w:r>
      <w:r>
        <w:t>湿热试验（</w:t>
      </w:r>
      <w:r>
        <w:rPr>
          <w:rFonts w:hint="eastAsia"/>
        </w:rPr>
        <w:t>5.16.5</w:t>
      </w:r>
      <w:r>
        <w:t>），</w:t>
      </w:r>
      <w:r>
        <w:rPr>
          <w:rFonts w:hint="eastAsia"/>
        </w:rPr>
        <w:t>在试验进行过程中和试验后，</w:t>
      </w:r>
      <w:r>
        <w:t>燃料电池模块</w:t>
      </w:r>
      <w:r>
        <w:rPr>
          <w:rFonts w:hint="eastAsia"/>
        </w:rPr>
        <w:t>均应能正常工作，且无异常和受损现象</w:t>
      </w:r>
      <w:r>
        <w:t>。</w:t>
      </w:r>
    </w:p>
    <w:p w14:paraId="0B96DB0F">
      <w:pPr>
        <w:pStyle w:val="123"/>
        <w:rPr>
          <w:rFonts w:hint="eastAsia"/>
        </w:rPr>
      </w:pPr>
      <w:r>
        <w:rPr>
          <w:rFonts w:hint="eastAsia"/>
        </w:rPr>
        <w:t>其中</w:t>
      </w:r>
      <w:r>
        <w:t>燃料电池模块</w:t>
      </w:r>
      <w:r>
        <w:rPr>
          <w:rFonts w:hint="eastAsia"/>
        </w:rPr>
        <w:t>应能在22℃～57℃、80%～100%相对湿度的交变湿热环境下正常工作。</w:t>
      </w:r>
    </w:p>
    <w:p w14:paraId="355E84EC">
      <w:pPr>
        <w:pStyle w:val="123"/>
        <w:rPr>
          <w:rFonts w:hint="eastAsia"/>
        </w:rPr>
      </w:pPr>
      <w:r>
        <w:rPr>
          <w:rFonts w:hint="eastAsia"/>
        </w:rPr>
        <w:t>对于适用于恒定湿热试验的燃料电池模块，应能在不低于42℃、96%相对湿度的恒定湿热环境下正常工作。</w:t>
      </w:r>
    </w:p>
    <w:p w14:paraId="061E2D9A">
      <w:pPr>
        <w:pStyle w:val="69"/>
        <w:spacing w:before="156" w:after="156"/>
      </w:pPr>
      <w:r>
        <w:t>盐雾环境要求</w:t>
      </w:r>
    </w:p>
    <w:p w14:paraId="4EC81495">
      <w:pPr>
        <w:pStyle w:val="123"/>
        <w:rPr>
          <w:rFonts w:hint="eastAsia"/>
        </w:rPr>
      </w:pPr>
      <w:r>
        <w:rPr>
          <w:rFonts w:hint="eastAsia"/>
        </w:rPr>
        <w:t>对于放置在甲板上的</w:t>
      </w:r>
      <w:r>
        <w:t>燃料电池模块</w:t>
      </w:r>
      <w:r>
        <w:rPr>
          <w:rFonts w:hint="eastAsia"/>
        </w:rPr>
        <w:t>，</w:t>
      </w:r>
      <w:r>
        <w:t>应</w:t>
      </w:r>
      <w:r>
        <w:rPr>
          <w:rFonts w:hint="eastAsia"/>
        </w:rPr>
        <w:t>进行</w:t>
      </w:r>
      <w:r>
        <w:t>盐雾</w:t>
      </w:r>
      <w:r>
        <w:rPr>
          <w:rFonts w:hint="eastAsia"/>
        </w:rPr>
        <w:t>Ka</w:t>
      </w:r>
      <w:r>
        <w:t>试验（</w:t>
      </w:r>
      <w:r>
        <w:rPr>
          <w:rFonts w:hint="eastAsia"/>
        </w:rPr>
        <w:t>5.16.6</w:t>
      </w:r>
      <w:r>
        <w:t>）</w:t>
      </w:r>
      <w:r>
        <w:rPr>
          <w:rFonts w:hint="eastAsia"/>
        </w:rPr>
        <w:t>与盐雾Kb（5.16.7）试验，试验后</w:t>
      </w:r>
      <w:r>
        <w:t>燃料电池模块</w:t>
      </w:r>
      <w:r>
        <w:rPr>
          <w:rFonts w:hint="eastAsia"/>
        </w:rPr>
        <w:t>应能正常工作且不产生腐蚀损坏。</w:t>
      </w:r>
    </w:p>
    <w:p w14:paraId="6CCA7556">
      <w:pPr>
        <w:pStyle w:val="69"/>
        <w:spacing w:before="156" w:after="156"/>
      </w:pPr>
      <w:r>
        <w:t>外壳防护要求</w:t>
      </w:r>
    </w:p>
    <w:p w14:paraId="2E0462F3">
      <w:pPr>
        <w:pStyle w:val="123"/>
        <w:rPr>
          <w:rFonts w:hint="eastAsia"/>
        </w:rPr>
      </w:pPr>
      <w:r>
        <w:t>燃料电池模块应</w:t>
      </w:r>
      <w:r>
        <w:rPr>
          <w:rFonts w:hint="eastAsia"/>
        </w:rPr>
        <w:t>配置气密防水外壳，如无特殊要求，</w:t>
      </w:r>
      <w:r>
        <w:t>燃料电池模块</w:t>
      </w:r>
      <w:r>
        <w:rPr>
          <w:rFonts w:hint="eastAsia"/>
        </w:rPr>
        <w:t>外壳防护等级应达到IP67，试验时应按照本文件的测试方法进行外壳防护试验（5.17）。</w:t>
      </w:r>
    </w:p>
    <w:p w14:paraId="7954BDBF">
      <w:pPr>
        <w:pStyle w:val="69"/>
        <w:spacing w:before="156" w:after="156"/>
      </w:pPr>
      <w:r>
        <w:t>电磁兼容性要求</w:t>
      </w:r>
    </w:p>
    <w:p w14:paraId="43002E70">
      <w:pPr>
        <w:pStyle w:val="123"/>
        <w:rPr>
          <w:rFonts w:hint="eastAsia"/>
        </w:rPr>
      </w:pPr>
      <w:r>
        <w:t>燃料电池模块在额定工作状态下所产生的</w:t>
      </w:r>
      <w:r>
        <w:rPr>
          <w:rFonts w:hint="eastAsia"/>
        </w:rPr>
        <w:t>电磁</w:t>
      </w:r>
      <w:r>
        <w:t>信号[</w:t>
      </w:r>
      <w:r>
        <w:rPr>
          <w:rFonts w:hint="eastAsia"/>
        </w:rPr>
        <w:t>电磁兼容性</w:t>
      </w:r>
      <w:r>
        <w:t>试验（</w:t>
      </w:r>
      <w:r>
        <w:rPr>
          <w:rFonts w:hint="eastAsia"/>
        </w:rPr>
        <w:t>5.18</w:t>
      </w:r>
      <w:r>
        <w:t>）]不应超过</w:t>
      </w:r>
      <w:r>
        <w:rPr>
          <w:rFonts w:hint="eastAsia"/>
        </w:rPr>
        <w:t>适用</w:t>
      </w:r>
      <w:r>
        <w:t>场景所规定的限值。</w:t>
      </w:r>
    </w:p>
    <w:p w14:paraId="790267CF">
      <w:pPr>
        <w:pStyle w:val="123"/>
        <w:rPr>
          <w:rFonts w:hint="eastAsia"/>
        </w:rPr>
      </w:pPr>
      <w:r>
        <w:t>燃料电池模块在额定工作状态下</w:t>
      </w:r>
      <w:r>
        <w:rPr>
          <w:rFonts w:hint="eastAsia"/>
        </w:rPr>
        <w:t>应能承受适用</w:t>
      </w:r>
      <w:r>
        <w:t>场景所规定的</w:t>
      </w:r>
      <w:r>
        <w:rPr>
          <w:rFonts w:hint="eastAsia"/>
        </w:rPr>
        <w:t>各类电磁信号</w:t>
      </w:r>
      <w:r>
        <w:t>[</w:t>
      </w:r>
      <w:r>
        <w:rPr>
          <w:rFonts w:hint="eastAsia"/>
        </w:rPr>
        <w:t>电磁兼容性</w:t>
      </w:r>
      <w:r>
        <w:t>试验（</w:t>
      </w:r>
      <w:r>
        <w:rPr>
          <w:rFonts w:hint="eastAsia"/>
        </w:rPr>
        <w:t>5.18</w:t>
      </w:r>
      <w:r>
        <w:t>）]。</w:t>
      </w:r>
    </w:p>
    <w:p w14:paraId="6C556A54">
      <w:pPr>
        <w:pStyle w:val="69"/>
        <w:spacing w:before="156" w:after="156"/>
      </w:pPr>
      <w:r>
        <w:t>滞燃要求</w:t>
      </w:r>
    </w:p>
    <w:p w14:paraId="23DD1BB8">
      <w:pPr>
        <w:pStyle w:val="123"/>
        <w:rPr>
          <w:rFonts w:hint="eastAsia"/>
        </w:rPr>
      </w:pPr>
      <w:r>
        <w:rPr>
          <w:rFonts w:hint="eastAsia"/>
        </w:rPr>
        <w:t>不满足4.2.5.2免除项要求的塑料部件应进行滞燃</w:t>
      </w:r>
      <w:r>
        <w:t>试验（</w:t>
      </w:r>
      <w:r>
        <w:rPr>
          <w:rFonts w:hint="eastAsia"/>
        </w:rPr>
        <w:t>5.19</w:t>
      </w:r>
      <w:r>
        <w:t>）</w:t>
      </w:r>
      <w:r>
        <w:rPr>
          <w:rFonts w:hint="eastAsia"/>
        </w:rPr>
        <w:t>，其在规定的火焰下应具备滞燃与自灭特性。</w:t>
      </w:r>
    </w:p>
    <w:p w14:paraId="747D176A">
      <w:pPr>
        <w:pStyle w:val="69"/>
        <w:spacing w:before="156" w:after="156"/>
      </w:pPr>
      <w:r>
        <w:t>无石棉要求</w:t>
      </w:r>
    </w:p>
    <w:p w14:paraId="7DF838D6">
      <w:pPr>
        <w:pStyle w:val="123"/>
        <w:rPr>
          <w:rFonts w:hint="eastAsia"/>
        </w:rPr>
      </w:pPr>
      <w:r>
        <w:t>燃料电池模块</w:t>
      </w:r>
      <w:r>
        <w:rPr>
          <w:rFonts w:hint="eastAsia"/>
        </w:rPr>
        <w:t>禁止使用含石棉的材料，对于高石棉风险材料，应进行无石棉检测</w:t>
      </w:r>
      <w:r>
        <w:t>（</w:t>
      </w:r>
      <w:r>
        <w:rPr>
          <w:rFonts w:hint="eastAsia"/>
        </w:rPr>
        <w:t>5.20</w:t>
      </w:r>
      <w:r>
        <w:t>）</w:t>
      </w:r>
      <w:r>
        <w:rPr>
          <w:rFonts w:hint="eastAsia"/>
        </w:rPr>
        <w:t>，并出具无石棉检测报告。</w:t>
      </w:r>
    </w:p>
    <w:p w14:paraId="36A96959">
      <w:pPr>
        <w:pStyle w:val="67"/>
        <w:spacing w:before="312" w:after="312"/>
        <w:rPr>
          <w:rFonts w:hint="default"/>
        </w:rPr>
      </w:pPr>
      <w:bookmarkStart w:id="32" w:name="_Toc5802"/>
      <w:bookmarkStart w:id="33" w:name="_Toc201066971"/>
      <w:r>
        <w:t>试验方法</w:t>
      </w:r>
      <w:bookmarkEnd w:id="32"/>
      <w:bookmarkEnd w:id="33"/>
    </w:p>
    <w:p w14:paraId="1C3B3BB3">
      <w:pPr>
        <w:pStyle w:val="68"/>
        <w:spacing w:before="156" w:after="156"/>
        <w:rPr>
          <w:rFonts w:hint="default"/>
        </w:rPr>
      </w:pPr>
      <w:bookmarkStart w:id="34" w:name="_Toc201066972"/>
      <w:r>
        <w:t>通则</w:t>
      </w:r>
      <w:bookmarkEnd w:id="34"/>
    </w:p>
    <w:p w14:paraId="276DF6A1">
      <w:pPr>
        <w:pStyle w:val="123"/>
        <w:rPr>
          <w:rFonts w:hint="eastAsia"/>
        </w:rPr>
      </w:pPr>
      <w:r>
        <w:t>除非另有规定，燃料电池模块宜在如下所述的环境条件下进行试验：</w:t>
      </w:r>
    </w:p>
    <w:p w14:paraId="409B4598">
      <w:pPr>
        <w:pStyle w:val="55"/>
        <w:numPr>
          <w:ilvl w:val="0"/>
          <w:numId w:val="24"/>
        </w:numPr>
        <w:rPr>
          <w:rFonts w:hint="default"/>
        </w:rPr>
      </w:pPr>
      <w:r>
        <w:t>气压：80 kPa～106 kPa；</w:t>
      </w:r>
    </w:p>
    <w:p w14:paraId="1FC9C085">
      <w:pPr>
        <w:pStyle w:val="55"/>
        <w:rPr>
          <w:rFonts w:hint="default"/>
        </w:rPr>
      </w:pPr>
      <w:r>
        <w:t>环境温度：15℃～35℃；</w:t>
      </w:r>
    </w:p>
    <w:p w14:paraId="19EB822A">
      <w:pPr>
        <w:pStyle w:val="55"/>
        <w:rPr>
          <w:rFonts w:hint="default"/>
        </w:rPr>
      </w:pPr>
      <w:r>
        <w:t>环境相对湿度：30%～90%。</w:t>
      </w:r>
    </w:p>
    <w:p w14:paraId="7AED428C">
      <w:pPr>
        <w:pStyle w:val="68"/>
        <w:spacing w:before="156" w:after="156"/>
        <w:rPr>
          <w:rFonts w:hint="default"/>
        </w:rPr>
      </w:pPr>
      <w:bookmarkStart w:id="35" w:name="_Toc201066973"/>
      <w:r>
        <w:t>外观检查</w:t>
      </w:r>
      <w:bookmarkEnd w:id="35"/>
    </w:p>
    <w:p w14:paraId="7B1EE506">
      <w:pPr>
        <w:pStyle w:val="123"/>
        <w:rPr>
          <w:rFonts w:hint="eastAsia"/>
        </w:rPr>
      </w:pPr>
      <w:r>
        <w:t>外观检查的内容如下：</w:t>
      </w:r>
    </w:p>
    <w:p w14:paraId="6B45143C">
      <w:pPr>
        <w:pStyle w:val="55"/>
        <w:numPr>
          <w:ilvl w:val="0"/>
          <w:numId w:val="25"/>
        </w:numPr>
        <w:rPr>
          <w:rFonts w:hint="default"/>
        </w:rPr>
      </w:pPr>
      <w:r>
        <w:t>标签/铭牌检查：标签/铭牌是否按要求粘贴在设计位置，标签/铭牌的内容是否完整，清晰，在燃料电池模块表面是否有正负极标识，在燃料电池模块接口处是否有管路介质标识；</w:t>
      </w:r>
    </w:p>
    <w:p w14:paraId="542621C7">
      <w:pPr>
        <w:pStyle w:val="55"/>
        <w:rPr>
          <w:rFonts w:hint="default"/>
        </w:rPr>
      </w:pPr>
      <w:r>
        <w:t>外观检查：采用目测法检查被试样品的外观是否完好，有无损坏、划伤等缺陷；</w:t>
      </w:r>
    </w:p>
    <w:p w14:paraId="55EAC35B">
      <w:pPr>
        <w:pStyle w:val="55"/>
        <w:rPr>
          <w:rFonts w:hint="default"/>
        </w:rPr>
      </w:pPr>
      <w:r>
        <w:t>极性检查：对接线端子和电气连接进行检验，确认是否符合要求；在进行5.5正常运行试验时用电压表检查样品接线端子极性。</w:t>
      </w:r>
    </w:p>
    <w:p w14:paraId="2A5561C3">
      <w:pPr>
        <w:pStyle w:val="68"/>
        <w:spacing w:before="156" w:after="156"/>
        <w:rPr>
          <w:rFonts w:hint="default"/>
        </w:rPr>
      </w:pPr>
      <w:bookmarkStart w:id="36" w:name="_Toc201066974"/>
      <w:r>
        <w:t>冲击与振动试验</w:t>
      </w:r>
      <w:bookmarkEnd w:id="36"/>
    </w:p>
    <w:p w14:paraId="2894384E">
      <w:pPr>
        <w:pStyle w:val="69"/>
        <w:spacing w:before="156" w:after="156"/>
      </w:pPr>
      <w:r>
        <w:t>通则</w:t>
      </w:r>
    </w:p>
    <w:p w14:paraId="5940C03B">
      <w:pPr>
        <w:pStyle w:val="123"/>
        <w:rPr>
          <w:rFonts w:hint="eastAsia"/>
        </w:rPr>
      </w:pPr>
      <w:r>
        <w:t>燃料电池模块应符合制造商文件中规定的冲击和振动测试极限，制造商在规定允许值的同时，也应规定试验的</w:t>
      </w:r>
      <w:r>
        <w:rPr>
          <w:rFonts w:hint="eastAsia"/>
        </w:rPr>
        <w:t>严苛</w:t>
      </w:r>
      <w:r>
        <w:t>条件和试验方法。若制造商没有规定冲击和振动限制，则按照实际应用场景相关标准规定的方法进行振动和冲击试验。</w:t>
      </w:r>
    </w:p>
    <w:p w14:paraId="241B849B">
      <w:pPr>
        <w:pStyle w:val="123"/>
        <w:rPr>
          <w:rFonts w:hint="eastAsia"/>
        </w:rPr>
      </w:pPr>
      <w:r>
        <w:t>进行冲击与振动试验时，应根据实际使用情况设置防护措施。</w:t>
      </w:r>
    </w:p>
    <w:p w14:paraId="4EBAFABC">
      <w:pPr>
        <w:pStyle w:val="69"/>
        <w:spacing w:before="156" w:after="156"/>
      </w:pPr>
      <w:r>
        <w:t>振动试验</w:t>
      </w:r>
    </w:p>
    <w:p w14:paraId="7631E29F">
      <w:pPr>
        <w:pStyle w:val="123"/>
        <w:rPr>
          <w:rFonts w:hint="eastAsia"/>
        </w:rPr>
      </w:pPr>
      <w:r>
        <w:t>燃料电池模块应按照</w:t>
      </w:r>
      <w:r>
        <w:rPr>
          <w:rFonts w:hint="eastAsia"/>
        </w:rPr>
        <w:t>GB/T 2423.10-2019</w:t>
      </w:r>
      <w:r>
        <w:t>规定的方法进行振动试验</w:t>
      </w:r>
      <w:r>
        <w:rPr>
          <w:rFonts w:hint="eastAsia"/>
        </w:rPr>
        <w:t>，试验参数应符合GD019-2024中2.7的要求，其中一般振动条件试验的起始频率应为2Hz。</w:t>
      </w:r>
    </w:p>
    <w:p w14:paraId="72CFF647">
      <w:pPr>
        <w:pStyle w:val="69"/>
        <w:spacing w:before="156" w:after="156"/>
      </w:pPr>
      <w:r>
        <w:t>冲击试验</w:t>
      </w:r>
    </w:p>
    <w:p w14:paraId="2F280033">
      <w:pPr>
        <w:pStyle w:val="123"/>
        <w:rPr>
          <w:rFonts w:hint="eastAsia"/>
        </w:rPr>
      </w:pPr>
      <w:bookmarkStart w:id="37" w:name="_Hlk132790622"/>
      <w:r>
        <w:t>燃料电池模块应</w:t>
      </w:r>
      <w:r>
        <w:rPr>
          <w:rFonts w:hint="eastAsia"/>
        </w:rPr>
        <w:t>按照GB/T 2423.5-2019</w:t>
      </w:r>
      <w:r>
        <w:t>规定的方法</w:t>
      </w:r>
      <w:r>
        <w:rPr>
          <w:rFonts w:hint="eastAsia"/>
        </w:rPr>
        <w:t>进行冲击试验</w:t>
      </w:r>
      <w:bookmarkEnd w:id="37"/>
      <w:r>
        <w:t>。</w:t>
      </w:r>
    </w:p>
    <w:p w14:paraId="2C9C687D">
      <w:pPr>
        <w:pStyle w:val="68"/>
        <w:spacing w:before="156" w:after="156"/>
        <w:rPr>
          <w:rFonts w:hint="default"/>
        </w:rPr>
      </w:pPr>
      <w:bookmarkStart w:id="38" w:name="_Toc201066975"/>
      <w:r>
        <w:t>气体泄漏试验</w:t>
      </w:r>
      <w:bookmarkEnd w:id="38"/>
    </w:p>
    <w:p w14:paraId="07615396">
      <w:pPr>
        <w:pStyle w:val="123"/>
        <w:rPr>
          <w:rFonts w:hint="eastAsia"/>
        </w:rPr>
      </w:pPr>
      <w:r>
        <w:t>燃料电池模块应</w:t>
      </w:r>
      <w:r>
        <w:rPr>
          <w:rFonts w:hint="eastAsia"/>
        </w:rPr>
        <w:t>按照GB/T 29838-2013中5.3</w:t>
      </w:r>
      <w:r>
        <w:t>规定的方法</w:t>
      </w:r>
      <w:r>
        <w:rPr>
          <w:rFonts w:hint="eastAsia"/>
        </w:rPr>
        <w:t>进行气体泄漏试验</w:t>
      </w:r>
      <w:r>
        <w:t>。</w:t>
      </w:r>
    </w:p>
    <w:p w14:paraId="3BD0629B">
      <w:pPr>
        <w:pStyle w:val="123"/>
        <w:rPr>
          <w:rFonts w:hint="eastAsia"/>
        </w:rPr>
      </w:pPr>
      <w:r>
        <w:rPr>
          <w:rFonts w:hint="eastAsia"/>
        </w:rPr>
        <w:t>室温下，试验压力不得低于30 kPa。</w:t>
      </w:r>
    </w:p>
    <w:p w14:paraId="4463A83A">
      <w:pPr>
        <w:pStyle w:val="68"/>
        <w:spacing w:before="156" w:after="156"/>
        <w:rPr>
          <w:rFonts w:hint="default"/>
        </w:rPr>
      </w:pPr>
      <w:bookmarkStart w:id="39" w:name="_Toc201066976"/>
      <w:r>
        <w:t>正常运行试验</w:t>
      </w:r>
      <w:bookmarkEnd w:id="39"/>
    </w:p>
    <w:p w14:paraId="3E39A3B2">
      <w:pPr>
        <w:pStyle w:val="123"/>
        <w:rPr>
          <w:rFonts w:hint="eastAsia"/>
        </w:rPr>
      </w:pPr>
      <w:r>
        <w:t>燃料电池模块应</w:t>
      </w:r>
      <w:r>
        <w:rPr>
          <w:rFonts w:hint="eastAsia"/>
        </w:rPr>
        <w:t>按照GB/T 29838-2013中5.4</w:t>
      </w:r>
      <w:r>
        <w:t>规定的方法</w:t>
      </w:r>
      <w:r>
        <w:rPr>
          <w:rFonts w:hint="eastAsia"/>
        </w:rPr>
        <w:t>进行正常运行试验</w:t>
      </w:r>
      <w:r>
        <w:t>。</w:t>
      </w:r>
    </w:p>
    <w:p w14:paraId="4449A959">
      <w:pPr>
        <w:pStyle w:val="68"/>
        <w:spacing w:before="156" w:after="156"/>
        <w:rPr>
          <w:rFonts w:hint="default"/>
        </w:rPr>
      </w:pPr>
      <w:bookmarkStart w:id="40" w:name="_Toc201066977"/>
      <w:r>
        <w:t>许可工作压力试验</w:t>
      </w:r>
      <w:bookmarkEnd w:id="40"/>
    </w:p>
    <w:p w14:paraId="58F29253">
      <w:pPr>
        <w:pStyle w:val="123"/>
        <w:rPr>
          <w:rFonts w:hint="eastAsia"/>
        </w:rPr>
      </w:pPr>
      <w:r>
        <w:t>燃料电池模块应</w:t>
      </w:r>
      <w:r>
        <w:rPr>
          <w:rFonts w:hint="eastAsia"/>
        </w:rPr>
        <w:t>按照GB/T 29838-2013中5.5</w:t>
      </w:r>
      <w:r>
        <w:t>规定的方法</w:t>
      </w:r>
      <w:r>
        <w:rPr>
          <w:rFonts w:hint="eastAsia"/>
        </w:rPr>
        <w:t>进行许可工作压力试验。</w:t>
      </w:r>
    </w:p>
    <w:p w14:paraId="6CE44F91">
      <w:pPr>
        <w:pStyle w:val="123"/>
        <w:rPr>
          <w:rFonts w:hint="eastAsia"/>
        </w:rPr>
      </w:pPr>
      <w:r>
        <w:rPr>
          <w:rFonts w:hint="eastAsia"/>
        </w:rPr>
        <w:t>室温下，试验压力不得低于45 kPa。</w:t>
      </w:r>
    </w:p>
    <w:p w14:paraId="0DCD7094">
      <w:pPr>
        <w:pStyle w:val="68"/>
        <w:spacing w:before="156" w:after="156"/>
        <w:rPr>
          <w:rFonts w:hint="default"/>
        </w:rPr>
      </w:pPr>
      <w:bookmarkStart w:id="41" w:name="_Toc201066978"/>
      <w:r>
        <w:t>冷却系统耐压试验</w:t>
      </w:r>
      <w:bookmarkEnd w:id="41"/>
    </w:p>
    <w:p w14:paraId="1D649DD5">
      <w:pPr>
        <w:pStyle w:val="123"/>
        <w:rPr>
          <w:rFonts w:hint="eastAsia"/>
        </w:rPr>
      </w:pPr>
      <w:r>
        <w:t>燃料电池模块应</w:t>
      </w:r>
      <w:r>
        <w:rPr>
          <w:rFonts w:hint="eastAsia"/>
        </w:rPr>
        <w:t>按照GB/T 29838-2013中5.6</w:t>
      </w:r>
      <w:r>
        <w:t>规定的方法</w:t>
      </w:r>
      <w:r>
        <w:rPr>
          <w:rFonts w:hint="eastAsia"/>
        </w:rPr>
        <w:t>进行冷却系统耐压试验</w:t>
      </w:r>
      <w:r>
        <w:t>。</w:t>
      </w:r>
    </w:p>
    <w:p w14:paraId="3807B378">
      <w:pPr>
        <w:pStyle w:val="123"/>
        <w:rPr>
          <w:rFonts w:hint="eastAsia"/>
        </w:rPr>
      </w:pPr>
      <w:r>
        <w:rPr>
          <w:rFonts w:hint="eastAsia"/>
        </w:rPr>
        <w:t>室温下，试验压力不得低于60 kPa。</w:t>
      </w:r>
    </w:p>
    <w:p w14:paraId="1A7CDA30">
      <w:pPr>
        <w:pStyle w:val="68"/>
        <w:spacing w:before="156" w:after="156"/>
        <w:rPr>
          <w:rFonts w:hint="default"/>
        </w:rPr>
      </w:pPr>
      <w:bookmarkStart w:id="42" w:name="_Toc201066979"/>
      <w:r>
        <w:t>持续或短时电功率试验</w:t>
      </w:r>
      <w:bookmarkEnd w:id="42"/>
    </w:p>
    <w:p w14:paraId="42CB23E0">
      <w:pPr>
        <w:pStyle w:val="123"/>
        <w:rPr>
          <w:rFonts w:hint="eastAsia"/>
        </w:rPr>
      </w:pPr>
      <w:r>
        <w:t>燃料电池模块应</w:t>
      </w:r>
      <w:r>
        <w:rPr>
          <w:rFonts w:hint="eastAsia"/>
        </w:rPr>
        <w:t>按照GB/T 29838-2013中5.7</w:t>
      </w:r>
      <w:r>
        <w:t>规定的方法</w:t>
      </w:r>
      <w:r>
        <w:rPr>
          <w:rFonts w:hint="eastAsia"/>
        </w:rPr>
        <w:t>进行持续或短时电功率试验</w:t>
      </w:r>
      <w:r>
        <w:t>。</w:t>
      </w:r>
    </w:p>
    <w:p w14:paraId="062C2A4F">
      <w:pPr>
        <w:pStyle w:val="123"/>
        <w:rPr>
          <w:rFonts w:hint="eastAsia"/>
        </w:rPr>
      </w:pPr>
      <w:r>
        <w:rPr>
          <w:rFonts w:hint="eastAsia"/>
        </w:rPr>
        <w:t>试验时，燃料电池模块功率或电压不得低于制造商标称的峰值功率或峰值电流，测试时间不得低于5分钟。</w:t>
      </w:r>
    </w:p>
    <w:p w14:paraId="675FDBAF">
      <w:pPr>
        <w:pStyle w:val="68"/>
        <w:spacing w:before="156" w:after="156"/>
        <w:rPr>
          <w:rFonts w:hint="default"/>
        </w:rPr>
      </w:pPr>
      <w:bookmarkStart w:id="43" w:name="_Toc201066980"/>
      <w:r>
        <w:t>过压试验</w:t>
      </w:r>
      <w:bookmarkEnd w:id="43"/>
    </w:p>
    <w:p w14:paraId="637BB13F">
      <w:pPr>
        <w:pStyle w:val="123"/>
        <w:rPr>
          <w:rFonts w:hint="eastAsia"/>
        </w:rPr>
      </w:pPr>
      <w:r>
        <w:t>燃料电池模块应</w:t>
      </w:r>
      <w:r>
        <w:rPr>
          <w:rFonts w:hint="eastAsia"/>
        </w:rPr>
        <w:t>按照GB/T 29838-2013中5.8</w:t>
      </w:r>
      <w:r>
        <w:t>规定的方法</w:t>
      </w:r>
      <w:r>
        <w:rPr>
          <w:rFonts w:hint="eastAsia"/>
        </w:rPr>
        <w:t>进行过压试验</w:t>
      </w:r>
      <w:r>
        <w:t>。</w:t>
      </w:r>
    </w:p>
    <w:p w14:paraId="1B4BB493">
      <w:pPr>
        <w:pStyle w:val="68"/>
        <w:spacing w:before="156" w:after="156"/>
        <w:rPr>
          <w:rFonts w:hint="default"/>
        </w:rPr>
      </w:pPr>
      <w:bookmarkStart w:id="44" w:name="_Toc201066981"/>
      <w:r>
        <w:t>绝缘强度试验</w:t>
      </w:r>
      <w:bookmarkEnd w:id="44"/>
    </w:p>
    <w:p w14:paraId="425B3A74">
      <w:pPr>
        <w:pStyle w:val="123"/>
        <w:rPr>
          <w:rFonts w:hint="eastAsia"/>
        </w:rPr>
      </w:pPr>
      <w:r>
        <w:t>燃料电池模块应</w:t>
      </w:r>
      <w:r>
        <w:rPr>
          <w:rFonts w:hint="eastAsia"/>
        </w:rPr>
        <w:t>按照GB/T 29838-2013中5.9</w:t>
      </w:r>
      <w:r>
        <w:t>规定的方法</w:t>
      </w:r>
      <w:r>
        <w:rPr>
          <w:rFonts w:hint="eastAsia"/>
        </w:rPr>
        <w:t>进行绝缘强度试验</w:t>
      </w:r>
      <w:r>
        <w:t>。</w:t>
      </w:r>
      <w:r>
        <w:rPr>
          <w:rFonts w:hint="eastAsia"/>
        </w:rPr>
        <w:t>试验电压不低于1000 VAC或1500 VDC。</w:t>
      </w:r>
    </w:p>
    <w:p w14:paraId="40DE3FD2">
      <w:pPr>
        <w:pStyle w:val="68"/>
        <w:spacing w:before="156" w:after="156"/>
        <w:rPr>
          <w:rFonts w:hint="default"/>
        </w:rPr>
      </w:pPr>
      <w:bookmarkStart w:id="45" w:name="_Toc201066982"/>
      <w:r>
        <w:t>绝缘（静态）试验</w:t>
      </w:r>
      <w:bookmarkEnd w:id="45"/>
    </w:p>
    <w:p w14:paraId="2943204D">
      <w:pPr>
        <w:pStyle w:val="123"/>
        <w:rPr>
          <w:rFonts w:hint="eastAsia"/>
        </w:rPr>
      </w:pPr>
      <w:r>
        <w:t>燃料电池模块应</w:t>
      </w:r>
      <w:r>
        <w:rPr>
          <w:rFonts w:hint="eastAsia"/>
        </w:rPr>
        <w:t>按照GB/T 29838-2013中5.10</w:t>
      </w:r>
      <w:r>
        <w:t>规定的方法</w:t>
      </w:r>
      <w:r>
        <w:rPr>
          <w:rFonts w:hint="eastAsia"/>
        </w:rPr>
        <w:t>进行绝缘（静态）试验</w:t>
      </w:r>
      <w:r>
        <w:t>。</w:t>
      </w:r>
    </w:p>
    <w:p w14:paraId="0F3AE89E">
      <w:pPr>
        <w:pStyle w:val="68"/>
        <w:spacing w:before="156" w:after="156"/>
        <w:rPr>
          <w:rFonts w:hint="default"/>
        </w:rPr>
      </w:pPr>
      <w:bookmarkStart w:id="46" w:name="_Toc201066983"/>
      <w:r>
        <w:t>气体内窜试验</w:t>
      </w:r>
      <w:bookmarkEnd w:id="46"/>
    </w:p>
    <w:p w14:paraId="61FAA32E">
      <w:pPr>
        <w:pStyle w:val="123"/>
        <w:rPr>
          <w:rFonts w:hint="eastAsia"/>
        </w:rPr>
      </w:pPr>
      <w:r>
        <w:t>该试验应在按照制造商规定的方法停机后，于室温下静置1 h后进行。</w:t>
      </w:r>
    </w:p>
    <w:p w14:paraId="6752F4E0">
      <w:pPr>
        <w:pStyle w:val="123"/>
        <w:rPr>
          <w:rFonts w:hint="eastAsia"/>
        </w:rPr>
      </w:pPr>
      <w:r>
        <w:t>试验时，将燃料电池模块的阳极腔出口、阴极腔进口以及冷却液腔进出口全部封住。在阴极腔的出气口接上流量计，由阳极腔的进气口通入氮气，缓慢调整压力至允许最大工作压力差</w:t>
      </w:r>
      <w:r>
        <w:rPr>
          <w:rFonts w:hint="eastAsia"/>
        </w:rPr>
        <w:t>（不低于10 kPa）</w:t>
      </w:r>
      <w:r>
        <w:t>，试验过程中入口压力应稳定不变，稳定1 min后，在流量计上读取氮气向阴极腔的窜气速率，对应氢气窜气速率按照公式（</w:t>
      </w:r>
      <w:r>
        <w:rPr>
          <w:rFonts w:hint="eastAsia"/>
        </w:rPr>
        <w:t>1</w:t>
      </w:r>
      <w:r>
        <w:t>）进行计算：</w:t>
      </w:r>
    </w:p>
    <w:p w14:paraId="7489150E">
      <w:pPr>
        <w:pStyle w:val="123"/>
        <w:jc w:val="right"/>
        <w:rPr>
          <w:rFonts w:hint="eastAsia"/>
        </w:rPr>
      </w:pPr>
      <m:oMath>
        <m:sSub>
          <m:sSubPr>
            <m:ctrlPr>
              <w:rPr>
                <w:rFonts w:ascii="Cambria Math" w:hAnsi="Cambria Math"/>
              </w:rPr>
            </m:ctrlPr>
          </m:sSubPr>
          <m:e>
            <m:r>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=R×</m:t>
        </m:r>
        <m:sSub>
          <m:sSubPr>
            <m:ctrlPr>
              <w:rPr>
                <w:rFonts w:ascii="Cambria Math" w:hAnsi="Cambria Math"/>
              </w:rPr>
            </m:ctrlPr>
          </m:sSubPr>
          <m:e>
            <m:r>
              <m:rPr/>
              <w:rPr>
                <w:rFonts w:ascii="Cambria Math" w:hAnsi="Cambria Math"/>
              </w:rPr>
              <m:t>L</m:t>
            </m:r>
            <m:ctrlPr>
              <w:rPr>
                <w:rFonts w:ascii="Cambria Math" w:hAnsi="Cambria Math"/>
              </w:rPr>
            </m:ctrlPr>
          </m:e>
          <m:sub>
            <m:r>
              <m:rPr>
                <m:sty m:val="p"/>
              </m:rPr>
              <w:rPr>
                <w:rFonts w:ascii="Cambria Math" w:hAnsi="Cambria Math"/>
              </w:rPr>
              <m:t>1</m:t>
            </m:r>
            <m:ctrlPr>
              <w:rPr>
                <w:rFonts w:ascii="Cambria Math" w:hAnsi="Cambria Math"/>
              </w:rPr>
            </m:ctrlPr>
          </m:sub>
        </m:sSub>
      </m:oMath>
      <w:r>
        <w:rPr>
          <w:rFonts w:hint="eastAsia"/>
        </w:rPr>
        <w:t xml:space="preserve">                                    (1)</w:t>
      </w:r>
    </w:p>
    <w:p w14:paraId="49F9B891">
      <w:pPr>
        <w:pStyle w:val="123"/>
        <w:rPr>
          <w:rFonts w:hint="eastAsia"/>
        </w:rPr>
      </w:pPr>
      <w:r>
        <w:t>式中：</w:t>
      </w:r>
    </w:p>
    <w:p w14:paraId="0C2A5D88">
      <w:pPr>
        <w:pStyle w:val="123"/>
        <w:rPr>
          <w:rFonts w:hint="eastAsia"/>
        </w:rPr>
      </w:pPr>
      <w:r>
        <w:rPr>
          <w:rFonts w:hint="eastAsia"/>
          <w:i/>
          <w:iCs/>
        </w:rPr>
        <w:t>X</w:t>
      </w:r>
      <w:r>
        <w:rPr>
          <w:rFonts w:hint="eastAsia"/>
          <w:vertAlign w:val="subscript"/>
        </w:rPr>
        <w:t>1</w:t>
      </w:r>
      <w:r>
        <w:tab/>
      </w:r>
      <w:r>
        <w:t>——阳极腔向阴极腔的氢气窜气速度，单位为毫升每分钟（mL/min）；</w:t>
      </w:r>
    </w:p>
    <w:p w14:paraId="5052EF7D">
      <w:pPr>
        <w:pStyle w:val="123"/>
        <w:rPr>
          <w:rFonts w:hint="eastAsia"/>
        </w:rPr>
      </w:pPr>
      <w:r>
        <w:t xml:space="preserve">R </w:t>
      </w:r>
      <w:r>
        <w:rPr>
          <w:rFonts w:hint="eastAsia"/>
        </w:rPr>
        <w:t xml:space="preserve">   </w:t>
      </w:r>
      <w:r>
        <w:t>——同</w:t>
      </w:r>
      <w:r>
        <w:rPr>
          <w:rFonts w:hint="eastAsia"/>
        </w:rPr>
        <w:t>GB/T 29838-2013中</w:t>
      </w:r>
      <w:r>
        <w:t>5.</w:t>
      </w:r>
      <w:r>
        <w:rPr>
          <w:rFonts w:hint="eastAsia"/>
        </w:rPr>
        <w:t>3</w:t>
      </w:r>
      <w:r>
        <w:t>的修正系数R；</w:t>
      </w:r>
    </w:p>
    <w:p w14:paraId="18BA7A62">
      <w:pPr>
        <w:pStyle w:val="123"/>
        <w:rPr>
          <w:rFonts w:hint="eastAsia"/>
        </w:rPr>
      </w:pPr>
      <w:r>
        <w:rPr>
          <w:rFonts w:hint="eastAsia"/>
          <w:i/>
          <w:iCs/>
        </w:rPr>
        <w:t>L</w:t>
      </w:r>
      <w:r>
        <w:rPr>
          <w:rFonts w:hint="eastAsia"/>
          <w:vertAlign w:val="subscript"/>
        </w:rPr>
        <w:t>1</w:t>
      </w:r>
      <w:r>
        <w:tab/>
      </w:r>
      <w:r>
        <w:t>——阳极腔向阴极腔的氮气窜气速度，单位为毫升每分钟（mL/min）。</w:t>
      </w:r>
    </w:p>
    <w:p w14:paraId="44F5D1A0">
      <w:pPr>
        <w:pStyle w:val="123"/>
        <w:rPr>
          <w:rFonts w:hint="eastAsia"/>
        </w:rPr>
      </w:pPr>
      <w:r>
        <w:rPr>
          <w:rFonts w:hint="eastAsia"/>
        </w:rPr>
        <w:t>计算</w:t>
      </w:r>
      <w:r>
        <w:t>所得的窜气</w:t>
      </w:r>
      <w:r>
        <w:rPr>
          <w:rFonts w:hint="eastAsia"/>
        </w:rPr>
        <w:t>速率乘以1.5，</w:t>
      </w:r>
      <w:r>
        <w:t>不</w:t>
      </w:r>
      <w:r>
        <w:rPr>
          <w:rFonts w:hint="eastAsia"/>
        </w:rPr>
        <w:t>得</w:t>
      </w:r>
      <w:r>
        <w:t>大于7.4.1中e) 的规定值。</w:t>
      </w:r>
    </w:p>
    <w:p w14:paraId="2577C0AB">
      <w:pPr>
        <w:pStyle w:val="68"/>
        <w:spacing w:before="156" w:after="156"/>
        <w:rPr>
          <w:rFonts w:hint="default"/>
        </w:rPr>
      </w:pPr>
      <w:bookmarkStart w:id="47" w:name="_Toc201066984"/>
      <w:r>
        <w:t>压差试验</w:t>
      </w:r>
      <w:bookmarkEnd w:id="47"/>
    </w:p>
    <w:p w14:paraId="7E2715EB">
      <w:pPr>
        <w:pStyle w:val="123"/>
        <w:rPr>
          <w:rFonts w:hint="eastAsia"/>
        </w:rPr>
      </w:pPr>
      <w:r>
        <w:t>燃料电池模块应</w:t>
      </w:r>
      <w:r>
        <w:rPr>
          <w:rFonts w:hint="eastAsia"/>
        </w:rPr>
        <w:t>按照GB/T 29838-2013中5.11</w:t>
      </w:r>
      <w:r>
        <w:t>规定的方法</w:t>
      </w:r>
      <w:r>
        <w:rPr>
          <w:rFonts w:hint="eastAsia"/>
        </w:rPr>
        <w:t>进行压差试验</w:t>
      </w:r>
      <w:r>
        <w:t>。</w:t>
      </w:r>
    </w:p>
    <w:p w14:paraId="3C80C23F">
      <w:pPr>
        <w:pStyle w:val="123"/>
        <w:rPr>
          <w:rFonts w:hint="eastAsia"/>
        </w:rPr>
      </w:pPr>
      <w:r>
        <w:rPr>
          <w:rFonts w:hint="eastAsia"/>
        </w:rPr>
        <w:t>室温下，试验压差不得低于30 kPa。</w:t>
      </w:r>
    </w:p>
    <w:p w14:paraId="32A8B7B0">
      <w:pPr>
        <w:pStyle w:val="68"/>
        <w:spacing w:before="156" w:after="156"/>
        <w:rPr>
          <w:rFonts w:hint="default"/>
        </w:rPr>
      </w:pPr>
      <w:bookmarkStart w:id="48" w:name="_Toc201066985"/>
      <w:r>
        <w:t>可燃气体浓度试验</w:t>
      </w:r>
      <w:bookmarkEnd w:id="48"/>
    </w:p>
    <w:p w14:paraId="0D9BBBC0">
      <w:pPr>
        <w:pStyle w:val="123"/>
        <w:rPr>
          <w:rFonts w:hint="eastAsia"/>
        </w:rPr>
      </w:pPr>
      <w:r>
        <w:t>燃料电池模块应</w:t>
      </w:r>
      <w:r>
        <w:rPr>
          <w:rFonts w:hint="eastAsia"/>
        </w:rPr>
        <w:t>按照GB/T 29838-2013中5.14</w:t>
      </w:r>
      <w:r>
        <w:t>规定的方法</w:t>
      </w:r>
      <w:r>
        <w:rPr>
          <w:rFonts w:hint="eastAsia"/>
        </w:rPr>
        <w:t>进行可燃气体浓度试验</w:t>
      </w:r>
      <w:r>
        <w:t>。</w:t>
      </w:r>
    </w:p>
    <w:p w14:paraId="2A7E5BF0">
      <w:pPr>
        <w:pStyle w:val="68"/>
        <w:spacing w:before="156" w:after="156"/>
        <w:rPr>
          <w:rFonts w:hint="default"/>
        </w:rPr>
      </w:pPr>
      <w:bookmarkStart w:id="49" w:name="_Toc201066986"/>
      <w:r>
        <w:t>非正常条件试验</w:t>
      </w:r>
      <w:bookmarkEnd w:id="49"/>
    </w:p>
    <w:p w14:paraId="4C99DFF3">
      <w:pPr>
        <w:pStyle w:val="69"/>
        <w:spacing w:before="156" w:after="156"/>
      </w:pPr>
      <w:r>
        <w:t>通则</w:t>
      </w:r>
    </w:p>
    <w:p w14:paraId="46315E58">
      <w:pPr>
        <w:pStyle w:val="123"/>
        <w:rPr>
          <w:rFonts w:hint="eastAsia"/>
        </w:rPr>
      </w:pPr>
      <w:r>
        <w:rPr>
          <w:rFonts w:hint="eastAsia"/>
        </w:rPr>
        <w:t>本</w:t>
      </w:r>
      <w:r>
        <w:t>试验</w:t>
      </w:r>
      <w:r>
        <w:rPr>
          <w:rFonts w:hint="eastAsia"/>
        </w:rPr>
        <w:t>用于验证</w:t>
      </w:r>
      <w:r>
        <w:t>可预见的非正常运行条件不会导致危险结果或燃料电池模块的外部损害。</w:t>
      </w:r>
      <w:r>
        <w:rPr>
          <w:rFonts w:hint="eastAsia"/>
        </w:rPr>
        <w:t>如无特殊要求，存在</w:t>
      </w:r>
      <w:r>
        <w:t>破坏性的</w:t>
      </w:r>
      <w:r>
        <w:rPr>
          <w:rFonts w:hint="eastAsia"/>
        </w:rPr>
        <w:t>试验</w:t>
      </w:r>
      <w:r>
        <w:t>应在正常试验之后进行</w:t>
      </w:r>
      <w:r>
        <w:rPr>
          <w:rFonts w:hint="eastAsia"/>
        </w:rPr>
        <w:t>，</w:t>
      </w:r>
      <w:r>
        <w:t>也可用能够发生典型反应的燃料电池子模块进行试验</w:t>
      </w:r>
      <w:r>
        <w:rPr>
          <w:rFonts w:hint="eastAsia"/>
        </w:rPr>
        <w:t>，</w:t>
      </w:r>
      <w:r>
        <w:t>应</w:t>
      </w:r>
      <w:r>
        <w:rPr>
          <w:rFonts w:hint="eastAsia"/>
        </w:rPr>
        <w:t>根据试验</w:t>
      </w:r>
      <w:r>
        <w:t>破坏性</w:t>
      </w:r>
      <w:r>
        <w:rPr>
          <w:rFonts w:hint="eastAsia"/>
        </w:rPr>
        <w:t>或</w:t>
      </w:r>
      <w:r>
        <w:t>危险递增程度来安排试验顺序。</w:t>
      </w:r>
    </w:p>
    <w:p w14:paraId="6EFD337A">
      <w:pPr>
        <w:pStyle w:val="123"/>
        <w:rPr>
          <w:rFonts w:hint="eastAsia"/>
        </w:rPr>
      </w:pPr>
      <w:r>
        <w:t>非正常条件试验期间，应记录试验品的最高表面温度，如果比正常条件下获得的温度高，应提供给终端产品制造商。</w:t>
      </w:r>
    </w:p>
    <w:p w14:paraId="02ACC38A">
      <w:pPr>
        <w:pStyle w:val="123"/>
        <w:rPr>
          <w:rFonts w:hint="eastAsia"/>
        </w:rPr>
      </w:pPr>
      <w:r>
        <w:rPr>
          <w:rFonts w:hint="eastAsia"/>
        </w:rPr>
        <w:t>5.15.2</w:t>
      </w:r>
      <w:r>
        <w:t>～</w:t>
      </w:r>
      <w:r>
        <w:rPr>
          <w:rFonts w:hint="eastAsia"/>
        </w:rPr>
        <w:t>5.15.9</w:t>
      </w:r>
      <w:r>
        <w:t>列出的各种非正常条件下燃料电池模块的故障模式不应对人造成危险或者对燃料电池模块外部造成损害。针对非正常条件的防护，可通过燃料电池模块保护控制或通过终端应用的防护机制。后者需为集成商提供警示及需要的保护形式说明。如果试验样品在非正常条件试验中受损，</w:t>
      </w:r>
      <w:r>
        <w:rPr>
          <w:rFonts w:hint="eastAsia"/>
        </w:rPr>
        <w:t>应使</w:t>
      </w:r>
      <w:r>
        <w:t>用通过</w:t>
      </w:r>
      <w:r>
        <w:rPr>
          <w:rFonts w:hint="eastAsia"/>
        </w:rPr>
        <w:t>5.4</w:t>
      </w:r>
      <w:r>
        <w:t>试验的样品进行</w:t>
      </w:r>
      <w:r>
        <w:rPr>
          <w:rFonts w:hint="eastAsia"/>
        </w:rPr>
        <w:t>后续</w:t>
      </w:r>
      <w:r>
        <w:t>试验。</w:t>
      </w:r>
    </w:p>
    <w:p w14:paraId="38D62E1F">
      <w:pPr>
        <w:pStyle w:val="123"/>
        <w:rPr>
          <w:rFonts w:hint="eastAsia"/>
        </w:rPr>
      </w:pPr>
      <w:r>
        <w:t>若燃料电池模块因性能衰减（非安全相关控制功能）关机，应重复试验。</w:t>
      </w:r>
    </w:p>
    <w:p w14:paraId="0BB41C75">
      <w:pPr>
        <w:pStyle w:val="69"/>
        <w:spacing w:before="156" w:after="156"/>
      </w:pPr>
      <w:r>
        <w:t>燃料匮乏试验</w:t>
      </w:r>
    </w:p>
    <w:p w14:paraId="17B459AC">
      <w:pPr>
        <w:pStyle w:val="123"/>
        <w:rPr>
          <w:rFonts w:hint="eastAsia"/>
        </w:rPr>
      </w:pPr>
      <w:r>
        <w:t>燃料电池模块应</w:t>
      </w:r>
      <w:r>
        <w:rPr>
          <w:rFonts w:hint="eastAsia"/>
        </w:rPr>
        <w:t>按照GB/T 29838-2013中5.15.2</w:t>
      </w:r>
      <w:r>
        <w:t>规定的方法</w:t>
      </w:r>
      <w:r>
        <w:rPr>
          <w:rFonts w:hint="eastAsia"/>
        </w:rPr>
        <w:t>进行燃料匮乏试验</w:t>
      </w:r>
      <w:r>
        <w:t>。</w:t>
      </w:r>
    </w:p>
    <w:p w14:paraId="7CE0D28E">
      <w:pPr>
        <w:pStyle w:val="69"/>
        <w:spacing w:before="156" w:after="156"/>
      </w:pPr>
      <w:r>
        <w:t>氧气/氧化剂匮乏试验</w:t>
      </w:r>
    </w:p>
    <w:p w14:paraId="57FA7ED5">
      <w:pPr>
        <w:pStyle w:val="123"/>
        <w:rPr>
          <w:rFonts w:hint="eastAsia"/>
        </w:rPr>
      </w:pPr>
      <w:r>
        <w:t>燃料电池模块应</w:t>
      </w:r>
      <w:r>
        <w:rPr>
          <w:rFonts w:hint="eastAsia"/>
        </w:rPr>
        <w:t>按照GB/T 29838-2013中5.15.3</w:t>
      </w:r>
      <w:r>
        <w:t>规定的方法</w:t>
      </w:r>
      <w:r>
        <w:rPr>
          <w:rFonts w:hint="eastAsia"/>
        </w:rPr>
        <w:t>进行氧气/氧化剂匮乏试验</w:t>
      </w:r>
      <w:r>
        <w:t>。</w:t>
      </w:r>
    </w:p>
    <w:p w14:paraId="3FE084ED">
      <w:pPr>
        <w:pStyle w:val="69"/>
        <w:spacing w:before="156" w:after="156"/>
      </w:pPr>
      <w:r>
        <w:t>短路试验</w:t>
      </w:r>
    </w:p>
    <w:p w14:paraId="23583FE2">
      <w:pPr>
        <w:pStyle w:val="123"/>
        <w:rPr>
          <w:rFonts w:hint="eastAsia"/>
        </w:rPr>
      </w:pPr>
      <w:r>
        <w:t>燃料电池模块应</w:t>
      </w:r>
      <w:r>
        <w:rPr>
          <w:rFonts w:hint="eastAsia"/>
        </w:rPr>
        <w:t>按照GB/T 29838-2013中5.15.4</w:t>
      </w:r>
      <w:r>
        <w:t>规定的方法</w:t>
      </w:r>
      <w:r>
        <w:rPr>
          <w:rFonts w:hint="eastAsia"/>
        </w:rPr>
        <w:t>进行短路试验</w:t>
      </w:r>
      <w:r>
        <w:t>。</w:t>
      </w:r>
    </w:p>
    <w:p w14:paraId="0B977508">
      <w:pPr>
        <w:pStyle w:val="69"/>
        <w:spacing w:before="156" w:after="156"/>
      </w:pPr>
      <w:r>
        <w:t>缺乏冷却/冷却受损试验</w:t>
      </w:r>
    </w:p>
    <w:p w14:paraId="4C7162A9">
      <w:pPr>
        <w:pStyle w:val="123"/>
        <w:rPr>
          <w:rFonts w:hint="eastAsia"/>
        </w:rPr>
      </w:pPr>
      <w:r>
        <w:t>燃料电池模块应</w:t>
      </w:r>
      <w:r>
        <w:rPr>
          <w:rFonts w:hint="eastAsia"/>
        </w:rPr>
        <w:t>按照GB/T 29838-2013中5.15.5</w:t>
      </w:r>
      <w:r>
        <w:t>规定的方法</w:t>
      </w:r>
      <w:r>
        <w:rPr>
          <w:rFonts w:hint="eastAsia"/>
        </w:rPr>
        <w:t>进行乏冷却/冷却受损试验</w:t>
      </w:r>
      <w:r>
        <w:t>。</w:t>
      </w:r>
    </w:p>
    <w:p w14:paraId="34E2D46C">
      <w:pPr>
        <w:pStyle w:val="123"/>
        <w:rPr>
          <w:rFonts w:hint="eastAsia"/>
        </w:rPr>
      </w:pPr>
      <w:r>
        <w:rPr>
          <w:rFonts w:hint="eastAsia"/>
        </w:rPr>
        <w:t>冷却中断/受限试验时间不应低于30s。</w:t>
      </w:r>
    </w:p>
    <w:p w14:paraId="7CFC03B4">
      <w:pPr>
        <w:pStyle w:val="69"/>
        <w:spacing w:before="156" w:after="156"/>
      </w:pPr>
      <w:r>
        <w:t>泄漏检测系统试验</w:t>
      </w:r>
    </w:p>
    <w:p w14:paraId="6B2713BD">
      <w:pPr>
        <w:pStyle w:val="123"/>
        <w:rPr>
          <w:rFonts w:hint="eastAsia"/>
        </w:rPr>
      </w:pPr>
      <w:r>
        <w:t>燃料电池模块应</w:t>
      </w:r>
      <w:r>
        <w:rPr>
          <w:rFonts w:hint="eastAsia"/>
        </w:rPr>
        <w:t>按照GB/T 29838-2013中5.15.6</w:t>
      </w:r>
      <w:r>
        <w:t>规定的方法</w:t>
      </w:r>
      <w:r>
        <w:rPr>
          <w:rFonts w:hint="eastAsia"/>
        </w:rPr>
        <w:t>进行泄漏检测系统试验</w:t>
      </w:r>
      <w:r>
        <w:t>。</w:t>
      </w:r>
    </w:p>
    <w:p w14:paraId="552D2388">
      <w:pPr>
        <w:pStyle w:val="69"/>
        <w:spacing w:before="156" w:after="156"/>
      </w:pPr>
      <w:r>
        <w:t>冷冻/解冻循环试验</w:t>
      </w:r>
    </w:p>
    <w:p w14:paraId="3FB90B92">
      <w:pPr>
        <w:pStyle w:val="123"/>
        <w:rPr>
          <w:rFonts w:hint="eastAsia"/>
        </w:rPr>
      </w:pPr>
      <w:r>
        <w:t>燃料电池模块应</w:t>
      </w:r>
      <w:r>
        <w:rPr>
          <w:rFonts w:hint="eastAsia"/>
        </w:rPr>
        <w:t>按照GB/T 29838-2013中5.15.7</w:t>
      </w:r>
      <w:r>
        <w:t>规定的方法</w:t>
      </w:r>
      <w:r>
        <w:rPr>
          <w:rFonts w:hint="eastAsia"/>
        </w:rPr>
        <w:t>进行冷冻/解冻循环试验</w:t>
      </w:r>
      <w:r>
        <w:t>。</w:t>
      </w:r>
    </w:p>
    <w:p w14:paraId="38FDC0D9">
      <w:pPr>
        <w:pStyle w:val="69"/>
        <w:spacing w:before="156" w:after="156"/>
      </w:pPr>
      <w:r>
        <w:t>能源波动试验</w:t>
      </w:r>
    </w:p>
    <w:p w14:paraId="79DC1261">
      <w:pPr>
        <w:pStyle w:val="123"/>
        <w:rPr>
          <w:rFonts w:hint="eastAsia"/>
        </w:rPr>
      </w:pPr>
      <w:r>
        <w:t>如无特殊要求，燃料电池模块应</w:t>
      </w:r>
      <w:r>
        <w:rPr>
          <w:rFonts w:hint="eastAsia"/>
        </w:rPr>
        <w:t>按照GD019-2024中2.4</w:t>
      </w:r>
      <w:r>
        <w:t>规定的方法</w:t>
      </w:r>
      <w:r>
        <w:rPr>
          <w:rFonts w:hint="eastAsia"/>
        </w:rPr>
        <w:t>进行能源故障试验。</w:t>
      </w:r>
    </w:p>
    <w:p w14:paraId="0ABA135F">
      <w:pPr>
        <w:pStyle w:val="123"/>
        <w:rPr>
          <w:rFonts w:hint="eastAsia"/>
        </w:rPr>
      </w:pPr>
      <w:r>
        <w:rPr>
          <w:rFonts w:hint="eastAsia"/>
        </w:rPr>
        <w:t>当</w:t>
      </w:r>
      <w:r>
        <w:t>试验过程中燃料电池模块</w:t>
      </w:r>
      <w:r>
        <w:rPr>
          <w:rFonts w:hint="eastAsia"/>
        </w:rPr>
        <w:t>存在</w:t>
      </w:r>
      <w:r>
        <w:t>安全</w:t>
      </w:r>
      <w:r>
        <w:rPr>
          <w:rFonts w:hint="eastAsia"/>
        </w:rPr>
        <w:t>风险时</w:t>
      </w:r>
      <w:r>
        <w:t>，可以在燃料管中通空气或者氮气进行空载运转。</w:t>
      </w:r>
    </w:p>
    <w:p w14:paraId="1F85C801">
      <w:pPr>
        <w:pStyle w:val="69"/>
        <w:spacing w:before="156" w:after="156"/>
      </w:pPr>
      <w:r>
        <w:t>能源故障试验</w:t>
      </w:r>
    </w:p>
    <w:p w14:paraId="6A569372">
      <w:pPr>
        <w:pStyle w:val="123"/>
        <w:rPr>
          <w:rFonts w:hint="eastAsia"/>
        </w:rPr>
      </w:pPr>
      <w:r>
        <w:t>如无特殊要求，燃料电池模块应</w:t>
      </w:r>
      <w:r>
        <w:rPr>
          <w:rFonts w:hint="eastAsia"/>
        </w:rPr>
        <w:t>按照GD019-2024中2.5</w:t>
      </w:r>
      <w:r>
        <w:t>规定的方法</w:t>
      </w:r>
      <w:r>
        <w:rPr>
          <w:rFonts w:hint="eastAsia"/>
        </w:rPr>
        <w:t>进行能源故障试验</w:t>
      </w:r>
      <w:r>
        <w:t>。</w:t>
      </w:r>
    </w:p>
    <w:p w14:paraId="16636863">
      <w:pPr>
        <w:pStyle w:val="123"/>
        <w:rPr>
          <w:rFonts w:hint="eastAsia"/>
        </w:rPr>
      </w:pPr>
      <w:r>
        <w:rPr>
          <w:rFonts w:hint="eastAsia"/>
        </w:rPr>
        <w:t>当</w:t>
      </w:r>
      <w:r>
        <w:t>试验过程中燃料电池模块</w:t>
      </w:r>
      <w:r>
        <w:rPr>
          <w:rFonts w:hint="eastAsia"/>
        </w:rPr>
        <w:t>存在</w:t>
      </w:r>
      <w:r>
        <w:t>安全</w:t>
      </w:r>
      <w:r>
        <w:rPr>
          <w:rFonts w:hint="eastAsia"/>
        </w:rPr>
        <w:t>风险时</w:t>
      </w:r>
      <w:r>
        <w:t>，可以在燃料管中通空气或者氮气进行空载运转。</w:t>
      </w:r>
    </w:p>
    <w:p w14:paraId="7EA86DFC">
      <w:pPr>
        <w:pStyle w:val="68"/>
        <w:spacing w:before="156" w:after="156"/>
        <w:rPr>
          <w:rFonts w:hint="default"/>
        </w:rPr>
      </w:pPr>
      <w:bookmarkStart w:id="50" w:name="_Toc201066987"/>
      <w:r>
        <w:t>环境适应性</w:t>
      </w:r>
      <w:bookmarkEnd w:id="50"/>
    </w:p>
    <w:p w14:paraId="1E905C74">
      <w:pPr>
        <w:pStyle w:val="69"/>
        <w:spacing w:before="156" w:after="156"/>
      </w:pPr>
      <w:r>
        <w:t>倾斜和摇摆试验</w:t>
      </w:r>
    </w:p>
    <w:p w14:paraId="23378404">
      <w:pPr>
        <w:pStyle w:val="123"/>
        <w:rPr>
          <w:rFonts w:hint="eastAsia"/>
        </w:rPr>
      </w:pPr>
      <w:r>
        <w:rPr>
          <w:rFonts w:hint="eastAsia"/>
        </w:rPr>
        <w:t>对于应用于船舶的燃料电池模块，应按照GB/T 2423.101-2008</w:t>
      </w:r>
      <w:r>
        <w:t>规定的方法</w:t>
      </w:r>
      <w:r>
        <w:rPr>
          <w:rFonts w:hint="eastAsia"/>
        </w:rPr>
        <w:t>进行倾斜和摇摆试验，试验参数应符合GD019-2024中2.6的要求。</w:t>
      </w:r>
    </w:p>
    <w:p w14:paraId="23D057EF">
      <w:pPr>
        <w:pStyle w:val="69"/>
        <w:spacing w:before="156" w:after="156"/>
      </w:pPr>
      <w:r>
        <w:t>高温试验</w:t>
      </w:r>
    </w:p>
    <w:p w14:paraId="0ACA346F">
      <w:pPr>
        <w:pStyle w:val="123"/>
        <w:rPr>
          <w:rFonts w:hint="eastAsia"/>
        </w:rPr>
      </w:pPr>
      <w:bookmarkStart w:id="51" w:name="OLE_LINK1"/>
      <w:r>
        <w:t>燃料电池模块应</w:t>
      </w:r>
      <w:r>
        <w:rPr>
          <w:rFonts w:hint="eastAsia"/>
        </w:rPr>
        <w:t>按照GB/T 2423.2-2008</w:t>
      </w:r>
      <w:r>
        <w:t>规定的方法</w:t>
      </w:r>
      <w:r>
        <w:rPr>
          <w:rFonts w:hint="eastAsia"/>
        </w:rPr>
        <w:t>进行高温试验，试验参数应符合GD019-2024中2.8的要求</w:t>
      </w:r>
      <w:r>
        <w:t>。</w:t>
      </w:r>
    </w:p>
    <w:bookmarkEnd w:id="51"/>
    <w:p w14:paraId="0A4A3A2E">
      <w:pPr>
        <w:pStyle w:val="123"/>
        <w:rPr>
          <w:rFonts w:hint="eastAsia"/>
        </w:rPr>
      </w:pPr>
      <w:r>
        <w:rPr>
          <w:rFonts w:hint="eastAsia"/>
        </w:rPr>
        <w:t>当</w:t>
      </w:r>
      <w:r>
        <w:t>试验过程中燃料电池模块</w:t>
      </w:r>
      <w:r>
        <w:rPr>
          <w:rFonts w:hint="eastAsia"/>
        </w:rPr>
        <w:t>存在</w:t>
      </w:r>
      <w:r>
        <w:t>安全</w:t>
      </w:r>
      <w:r>
        <w:rPr>
          <w:rFonts w:hint="eastAsia"/>
        </w:rPr>
        <w:t>风险时</w:t>
      </w:r>
      <w:r>
        <w:t>，可以在燃料管中通空气或者氮气进行空载运转。</w:t>
      </w:r>
    </w:p>
    <w:p w14:paraId="5CA69E7F">
      <w:pPr>
        <w:pStyle w:val="69"/>
        <w:spacing w:before="156" w:after="156"/>
      </w:pPr>
      <w:r>
        <w:t>低温试验</w:t>
      </w:r>
    </w:p>
    <w:p w14:paraId="7F1B5948">
      <w:pPr>
        <w:pStyle w:val="123"/>
        <w:rPr>
          <w:rFonts w:hint="eastAsia"/>
        </w:rPr>
      </w:pPr>
      <w:r>
        <w:t>燃料电池模块应</w:t>
      </w:r>
      <w:r>
        <w:rPr>
          <w:rFonts w:hint="eastAsia"/>
        </w:rPr>
        <w:t>按照GB/T 2423.1-2008</w:t>
      </w:r>
      <w:r>
        <w:t>规定的方法</w:t>
      </w:r>
      <w:r>
        <w:rPr>
          <w:rFonts w:hint="eastAsia"/>
        </w:rPr>
        <w:t>进行低温试验，试验参数应符合GD019-2024中2.9的要求。</w:t>
      </w:r>
    </w:p>
    <w:p w14:paraId="573D159E">
      <w:pPr>
        <w:pStyle w:val="123"/>
        <w:rPr>
          <w:rFonts w:hint="eastAsia"/>
        </w:rPr>
      </w:pPr>
      <w:r>
        <w:rPr>
          <w:rFonts w:hint="eastAsia"/>
        </w:rPr>
        <w:t>当</w:t>
      </w:r>
      <w:r>
        <w:t>试验过程中燃料电池模块</w:t>
      </w:r>
      <w:r>
        <w:rPr>
          <w:rFonts w:hint="eastAsia"/>
        </w:rPr>
        <w:t>存在</w:t>
      </w:r>
      <w:r>
        <w:t>安全</w:t>
      </w:r>
      <w:r>
        <w:rPr>
          <w:rFonts w:hint="eastAsia"/>
        </w:rPr>
        <w:t>风险时</w:t>
      </w:r>
      <w:r>
        <w:t>，可以在燃料管中通空气或者氮气进行空载运转。</w:t>
      </w:r>
    </w:p>
    <w:p w14:paraId="5D732EFB">
      <w:pPr>
        <w:pStyle w:val="69"/>
        <w:spacing w:before="156" w:after="156"/>
      </w:pPr>
      <w:r>
        <w:t>交变湿热试验</w:t>
      </w:r>
    </w:p>
    <w:p w14:paraId="26DE3232">
      <w:pPr>
        <w:pStyle w:val="123"/>
        <w:rPr>
          <w:rFonts w:hint="eastAsia"/>
        </w:rPr>
      </w:pPr>
      <w:bookmarkStart w:id="52" w:name="_Hlk132644966"/>
      <w:r>
        <w:t>燃料电池模块应</w:t>
      </w:r>
      <w:r>
        <w:rPr>
          <w:rFonts w:hint="eastAsia"/>
        </w:rPr>
        <w:t>按照GB/T 2423.4-2008</w:t>
      </w:r>
      <w:r>
        <w:t>规定的方法</w:t>
      </w:r>
      <w:r>
        <w:rPr>
          <w:rFonts w:hint="eastAsia"/>
        </w:rPr>
        <w:t>进行交变湿热试验，试验参数应符合GD019-2024中2.10的要求</w:t>
      </w:r>
      <w:r>
        <w:t>。</w:t>
      </w:r>
    </w:p>
    <w:bookmarkEnd w:id="52"/>
    <w:p w14:paraId="353867EE">
      <w:pPr>
        <w:pStyle w:val="123"/>
        <w:rPr>
          <w:rFonts w:hint="eastAsia"/>
        </w:rPr>
      </w:pPr>
      <w:r>
        <w:rPr>
          <w:rFonts w:hint="eastAsia"/>
        </w:rPr>
        <w:t>当</w:t>
      </w:r>
      <w:r>
        <w:t>试验过程中燃料电池模块</w:t>
      </w:r>
      <w:r>
        <w:rPr>
          <w:rFonts w:hint="eastAsia"/>
        </w:rPr>
        <w:t>存在</w:t>
      </w:r>
      <w:r>
        <w:t>安全</w:t>
      </w:r>
      <w:r>
        <w:rPr>
          <w:rFonts w:hint="eastAsia"/>
        </w:rPr>
        <w:t>风险时</w:t>
      </w:r>
      <w:r>
        <w:t>，可以在燃料管中通空气或者氮气进行空载运转。</w:t>
      </w:r>
    </w:p>
    <w:p w14:paraId="4FF7DF0A">
      <w:pPr>
        <w:pStyle w:val="69"/>
        <w:spacing w:before="156" w:after="156"/>
        <w:rPr>
          <w:rFonts w:ascii="宋体" w:hAnsi="宋体" w:eastAsia="宋体" w:cs="宋体"/>
        </w:rPr>
      </w:pPr>
      <w:r>
        <w:t>恒定湿热试验</w:t>
      </w:r>
    </w:p>
    <w:p w14:paraId="73346AB5">
      <w:pPr>
        <w:pStyle w:val="123"/>
        <w:rPr>
          <w:rFonts w:hint="eastAsia" w:cs="宋体"/>
        </w:rPr>
      </w:pPr>
      <w:r>
        <w:rPr>
          <w:rFonts w:hint="eastAsia" w:cs="宋体"/>
        </w:rPr>
        <w:t>燃料电池模块应按照GB/T 2423.3-2016规定的方法进行恒定湿热试验</w:t>
      </w:r>
      <w:r>
        <w:rPr>
          <w:rFonts w:hint="eastAsia"/>
        </w:rPr>
        <w:t>，试验参数应符合GD019-2024中2.11的要求</w:t>
      </w:r>
      <w:r>
        <w:rPr>
          <w:rFonts w:hint="eastAsia" w:cs="宋体"/>
        </w:rPr>
        <w:t>。</w:t>
      </w:r>
    </w:p>
    <w:p w14:paraId="3CEE870F">
      <w:pPr>
        <w:pStyle w:val="123"/>
        <w:rPr>
          <w:rFonts w:hint="eastAsia"/>
        </w:rPr>
      </w:pPr>
      <w:r>
        <w:rPr>
          <w:rFonts w:hint="eastAsia"/>
        </w:rPr>
        <w:t>当</w:t>
      </w:r>
      <w:r>
        <w:t>试验过程中燃料电池模块</w:t>
      </w:r>
      <w:r>
        <w:rPr>
          <w:rFonts w:hint="eastAsia"/>
        </w:rPr>
        <w:t>存在</w:t>
      </w:r>
      <w:r>
        <w:t>安全</w:t>
      </w:r>
      <w:r>
        <w:rPr>
          <w:rFonts w:hint="eastAsia"/>
        </w:rPr>
        <w:t>风险时</w:t>
      </w:r>
      <w:r>
        <w:t>，可以在燃料管中通空气或者氮气进行空载运转。</w:t>
      </w:r>
    </w:p>
    <w:p w14:paraId="25C0141B">
      <w:pPr>
        <w:pStyle w:val="69"/>
        <w:spacing w:before="156" w:after="156"/>
      </w:pPr>
      <w:r>
        <w:t>盐雾Kb试验</w:t>
      </w:r>
    </w:p>
    <w:p w14:paraId="54D0187D">
      <w:pPr>
        <w:pStyle w:val="123"/>
        <w:rPr>
          <w:rFonts w:hint="eastAsia"/>
        </w:rPr>
      </w:pPr>
      <w:r>
        <w:t>燃料电池模块应</w:t>
      </w:r>
      <w:r>
        <w:rPr>
          <w:rFonts w:hint="eastAsia"/>
        </w:rPr>
        <w:t>按照GB/T 2423.18-2021</w:t>
      </w:r>
      <w:r>
        <w:t>规定的方法</w:t>
      </w:r>
      <w:r>
        <w:rPr>
          <w:rFonts w:hint="eastAsia"/>
        </w:rPr>
        <w:t>进行盐雾Kb试验，试验参数应符合GD019-2024中2.12的要求。</w:t>
      </w:r>
    </w:p>
    <w:p w14:paraId="4E485497">
      <w:pPr>
        <w:pStyle w:val="69"/>
        <w:spacing w:before="156" w:after="156"/>
      </w:pPr>
      <w:r>
        <w:t>盐雾Ka试验</w:t>
      </w:r>
    </w:p>
    <w:p w14:paraId="47E2153F">
      <w:pPr>
        <w:pStyle w:val="123"/>
        <w:rPr>
          <w:rFonts w:hint="eastAsia"/>
        </w:rPr>
      </w:pPr>
      <w:r>
        <w:t>燃料电池模块</w:t>
      </w:r>
      <w:r>
        <w:rPr>
          <w:rFonts w:hint="eastAsia"/>
        </w:rPr>
        <w:t>及部件</w:t>
      </w:r>
      <w:r>
        <w:t>应</w:t>
      </w:r>
      <w:r>
        <w:rPr>
          <w:rFonts w:hint="eastAsia"/>
        </w:rPr>
        <w:t xml:space="preserve">按照GB/T </w:t>
      </w:r>
      <w:r>
        <w:t>2423.1</w:t>
      </w:r>
      <w:r>
        <w:rPr>
          <w:rFonts w:hint="eastAsia"/>
        </w:rPr>
        <w:t>7</w:t>
      </w:r>
      <w:r>
        <w:t>-202</w:t>
      </w:r>
      <w:r>
        <w:rPr>
          <w:rFonts w:hint="eastAsia"/>
        </w:rPr>
        <w:t>4</w:t>
      </w:r>
      <w:r>
        <w:t>规定的方法</w:t>
      </w:r>
      <w:r>
        <w:rPr>
          <w:rFonts w:hint="eastAsia"/>
        </w:rPr>
        <w:t>进行盐雾Ka试验，试验参数应符合GD019-2024中2.13的要求。</w:t>
      </w:r>
      <w:r>
        <w:t xml:space="preserve"> </w:t>
      </w:r>
    </w:p>
    <w:p w14:paraId="4755FD69">
      <w:pPr>
        <w:pStyle w:val="68"/>
        <w:spacing w:before="156" w:after="156"/>
        <w:rPr>
          <w:rFonts w:hint="default"/>
        </w:rPr>
      </w:pPr>
      <w:bookmarkStart w:id="53" w:name="_Toc201066988"/>
      <w:r>
        <w:t>外壳防护试验</w:t>
      </w:r>
      <w:bookmarkEnd w:id="53"/>
    </w:p>
    <w:p w14:paraId="48E771B9">
      <w:pPr>
        <w:pStyle w:val="123"/>
        <w:rPr>
          <w:rFonts w:hint="eastAsia"/>
        </w:rPr>
      </w:pPr>
      <w:r>
        <w:t>燃料电池模块</w:t>
      </w:r>
      <w:r>
        <w:rPr>
          <w:rFonts w:hint="eastAsia"/>
        </w:rPr>
        <w:t>应按照GB/T 4208-2017</w:t>
      </w:r>
      <w:r>
        <w:t>规定的方法</w:t>
      </w:r>
      <w:r>
        <w:rPr>
          <w:rFonts w:hint="eastAsia"/>
        </w:rPr>
        <w:t>以及供应商标称的外壳防护等级进行外壳防护试验</w:t>
      </w:r>
      <w:r>
        <w:t>。</w:t>
      </w:r>
    </w:p>
    <w:p w14:paraId="7202921B">
      <w:pPr>
        <w:pStyle w:val="68"/>
        <w:spacing w:before="156" w:after="156"/>
        <w:rPr>
          <w:rFonts w:hint="default"/>
        </w:rPr>
      </w:pPr>
      <w:bookmarkStart w:id="54" w:name="_Toc201066989"/>
      <w:r>
        <w:t>电磁兼容性试验</w:t>
      </w:r>
      <w:bookmarkEnd w:id="54"/>
    </w:p>
    <w:p w14:paraId="67AC1615">
      <w:pPr>
        <w:pStyle w:val="123"/>
        <w:rPr>
          <w:rFonts w:hint="eastAsia"/>
        </w:rPr>
      </w:pPr>
      <w:r>
        <w:t>燃料电池模块</w:t>
      </w:r>
      <w:r>
        <w:rPr>
          <w:rFonts w:hint="eastAsia"/>
        </w:rPr>
        <w:t>应按照GD019-2024中第3章</w:t>
      </w:r>
      <w:r>
        <w:t>规定的方法</w:t>
      </w:r>
      <w:r>
        <w:rPr>
          <w:rFonts w:hint="eastAsia"/>
        </w:rPr>
        <w:t>进行电磁兼容性试验</w:t>
      </w:r>
      <w:r>
        <w:t>。</w:t>
      </w:r>
    </w:p>
    <w:p w14:paraId="4FD822A2">
      <w:pPr>
        <w:pStyle w:val="68"/>
        <w:spacing w:before="156" w:after="156"/>
        <w:rPr>
          <w:rFonts w:hint="default"/>
          <w:kern w:val="21"/>
        </w:rPr>
      </w:pPr>
      <w:bookmarkStart w:id="55" w:name="_Toc201066990"/>
      <w:r>
        <w:rPr>
          <w:kern w:val="21"/>
        </w:rPr>
        <w:t>滞燃试验</w:t>
      </w:r>
      <w:bookmarkEnd w:id="55"/>
    </w:p>
    <w:p w14:paraId="31B5761F">
      <w:pPr>
        <w:pStyle w:val="123"/>
        <w:rPr>
          <w:rFonts w:hint="eastAsia"/>
        </w:rPr>
      </w:pPr>
      <w:r>
        <w:t>燃料电池模块</w:t>
      </w:r>
      <w:r>
        <w:rPr>
          <w:rFonts w:hint="eastAsia"/>
        </w:rPr>
        <w:t>塑料部件</w:t>
      </w:r>
      <w:r>
        <w:t>应</w:t>
      </w:r>
      <w:r>
        <w:rPr>
          <w:rFonts w:hint="eastAsia"/>
        </w:rPr>
        <w:t>按照GB/T 5169.5-2020进行滞燃试验，试验参数应符合GD019-2024中2.16的要求</w:t>
      </w:r>
      <w:r>
        <w:t>。</w:t>
      </w:r>
      <w:r>
        <w:rPr>
          <w:rFonts w:hint="eastAsia"/>
        </w:rPr>
        <w:t>满足4.2.5.2免除项中要求的部件无需进行该试验。</w:t>
      </w:r>
    </w:p>
    <w:p w14:paraId="198151DD">
      <w:pPr>
        <w:pStyle w:val="68"/>
        <w:spacing w:before="156" w:after="156"/>
        <w:rPr>
          <w:rFonts w:hint="default"/>
          <w:kern w:val="21"/>
        </w:rPr>
      </w:pPr>
      <w:bookmarkStart w:id="56" w:name="_Toc201066991"/>
      <w:r>
        <w:rPr>
          <w:kern w:val="21"/>
        </w:rPr>
        <w:t>无石棉检测</w:t>
      </w:r>
      <w:bookmarkEnd w:id="56"/>
    </w:p>
    <w:p w14:paraId="112E5385">
      <w:pPr>
        <w:pStyle w:val="123"/>
        <w:rPr>
          <w:rFonts w:hint="eastAsia"/>
        </w:rPr>
      </w:pPr>
      <w:r>
        <w:rPr>
          <w:rFonts w:hint="eastAsia"/>
        </w:rPr>
        <w:t>制造商应提供燃料电池模块内石棉高风险材料的无石棉检测报告或送至第三方检测机构按照GB/T 37765进行石棉含量检测。</w:t>
      </w:r>
    </w:p>
    <w:p w14:paraId="3946CCB0">
      <w:pPr>
        <w:pStyle w:val="67"/>
        <w:spacing w:before="312" w:after="312"/>
        <w:rPr>
          <w:rFonts w:hint="default"/>
        </w:rPr>
      </w:pPr>
      <w:bookmarkStart w:id="57" w:name="_Toc201066992"/>
      <w:bookmarkStart w:id="58" w:name="_Toc32256"/>
      <w:r>
        <w:t>检验规则</w:t>
      </w:r>
      <w:bookmarkEnd w:id="57"/>
      <w:bookmarkEnd w:id="58"/>
    </w:p>
    <w:p w14:paraId="6C275EB1">
      <w:pPr>
        <w:pStyle w:val="68"/>
        <w:spacing w:before="156" w:after="156"/>
        <w:rPr>
          <w:rFonts w:hint="default"/>
        </w:rPr>
      </w:pPr>
      <w:bookmarkStart w:id="59" w:name="_Toc201066993"/>
      <w:r>
        <w:t>通用规则</w:t>
      </w:r>
      <w:bookmarkEnd w:id="59"/>
    </w:p>
    <w:p w14:paraId="3D689593">
      <w:pPr>
        <w:pStyle w:val="123"/>
        <w:rPr>
          <w:rFonts w:hint="eastAsia"/>
        </w:rPr>
      </w:pPr>
      <w:r>
        <w:t>每台燃料电池发电系统都应经检验合格才能出厂并附有产品合格证。针对不同的产品，检验分为型式试验与例行试验。</w:t>
      </w:r>
    </w:p>
    <w:p w14:paraId="703F0A2E">
      <w:pPr>
        <w:pStyle w:val="68"/>
        <w:spacing w:before="156" w:after="156"/>
        <w:rPr>
          <w:rFonts w:hint="default"/>
        </w:rPr>
      </w:pPr>
      <w:bookmarkStart w:id="60" w:name="_Toc201066994"/>
      <w:r>
        <w:t>型式试验规则</w:t>
      </w:r>
      <w:bookmarkEnd w:id="60"/>
    </w:p>
    <w:p w14:paraId="3D76887D">
      <w:pPr>
        <w:pStyle w:val="123"/>
        <w:rPr>
          <w:rFonts w:hint="eastAsia"/>
        </w:rPr>
      </w:pPr>
      <w:r>
        <w:t>凡遇下列情况的产品，应进行型式试验，型式试验样品应不少于两台：</w:t>
      </w:r>
    </w:p>
    <w:p w14:paraId="075EEDF8">
      <w:pPr>
        <w:pStyle w:val="55"/>
        <w:numPr>
          <w:ilvl w:val="0"/>
          <w:numId w:val="26"/>
        </w:numPr>
        <w:rPr>
          <w:rFonts w:hint="default"/>
        </w:rPr>
      </w:pPr>
      <w:r>
        <w:t>新产品试制或小批试生产；</w:t>
      </w:r>
    </w:p>
    <w:p w14:paraId="5FDBEC4D">
      <w:pPr>
        <w:pStyle w:val="55"/>
        <w:rPr>
          <w:rFonts w:hint="default"/>
        </w:rPr>
      </w:pPr>
      <w:r>
        <w:t>定期抽试，连续批量生产的产品每年不得少于1次；</w:t>
      </w:r>
    </w:p>
    <w:p w14:paraId="1305426E">
      <w:pPr>
        <w:pStyle w:val="55"/>
        <w:rPr>
          <w:rFonts w:hint="default"/>
        </w:rPr>
      </w:pPr>
      <w:r>
        <w:t>设计或工艺的变化足以引起产品的性能改变时；</w:t>
      </w:r>
    </w:p>
    <w:p w14:paraId="4BD2447C">
      <w:pPr>
        <w:pStyle w:val="55"/>
        <w:rPr>
          <w:rFonts w:hint="default"/>
        </w:rPr>
      </w:pPr>
      <w:r>
        <w:t>产品转厂生产或长期停止生产（超过定期抽试期限）后又恢复生产；</w:t>
      </w:r>
    </w:p>
    <w:p w14:paraId="5C9A30AC">
      <w:pPr>
        <w:pStyle w:val="55"/>
        <w:rPr>
          <w:rFonts w:hint="default"/>
        </w:rPr>
      </w:pPr>
      <w:r>
        <w:t>上级质量监督部门有要求时。</w:t>
      </w:r>
    </w:p>
    <w:p w14:paraId="224A1858">
      <w:pPr>
        <w:pStyle w:val="123"/>
        <w:rPr>
          <w:rFonts w:hint="eastAsia"/>
        </w:rPr>
      </w:pPr>
      <w:r>
        <w:t>型式试验包括第5章规定的各项试验</w:t>
      </w:r>
      <w:r>
        <w:rPr>
          <w:rFonts w:hint="eastAsia"/>
        </w:rPr>
        <w:t>。</w:t>
      </w:r>
    </w:p>
    <w:p w14:paraId="0F94A3FD">
      <w:pPr>
        <w:pStyle w:val="68"/>
        <w:spacing w:before="156" w:after="156"/>
        <w:rPr>
          <w:rFonts w:hint="default"/>
        </w:rPr>
      </w:pPr>
      <w:bookmarkStart w:id="61" w:name="_Toc201066995"/>
      <w:r>
        <w:t>例行试验规则</w:t>
      </w:r>
      <w:bookmarkEnd w:id="61"/>
    </w:p>
    <w:p w14:paraId="5463E758">
      <w:pPr>
        <w:pStyle w:val="69"/>
        <w:spacing w:before="156" w:after="156"/>
      </w:pPr>
      <w:r>
        <w:t>概述</w:t>
      </w:r>
    </w:p>
    <w:p w14:paraId="17AEEAEC">
      <w:pPr>
        <w:pStyle w:val="123"/>
        <w:rPr>
          <w:rFonts w:hint="eastAsia"/>
        </w:rPr>
      </w:pPr>
      <w:r>
        <w:t>对于在型式试验有效期内正常生产的每台产品，可仅进行产品的例行试验。例行试验的项目包括气密性试验、绝缘强度试验与正常运行试验</w:t>
      </w:r>
      <w:r>
        <w:rPr>
          <w:rFonts w:hint="eastAsia"/>
        </w:rPr>
        <w:t>。</w:t>
      </w:r>
    </w:p>
    <w:p w14:paraId="2C770BF2">
      <w:pPr>
        <w:pStyle w:val="69"/>
        <w:spacing w:before="156" w:after="156"/>
      </w:pPr>
      <w:r>
        <w:t>气密性试验</w:t>
      </w:r>
    </w:p>
    <w:p w14:paraId="6E11FCD5">
      <w:pPr>
        <w:pStyle w:val="123"/>
        <w:rPr>
          <w:rFonts w:hint="eastAsia"/>
        </w:rPr>
      </w:pPr>
      <w:r>
        <w:t>按</w:t>
      </w:r>
      <w:r>
        <w:rPr>
          <w:rFonts w:hint="eastAsia"/>
        </w:rPr>
        <w:t>本文件5.4</w:t>
      </w:r>
      <w:r>
        <w:t>与</w:t>
      </w:r>
      <w:r>
        <w:fldChar w:fldCharType="begin"/>
      </w:r>
      <w:r>
        <w:instrText xml:space="preserve"> REF _Ref146551462 \r \h  \* MERGEFORMAT </w:instrText>
      </w:r>
      <w:r>
        <w:fldChar w:fldCharType="separate"/>
      </w:r>
      <w:r>
        <w:rPr>
          <w:rFonts w:hint="eastAsia"/>
        </w:rPr>
        <w:t>5</w:t>
      </w:r>
      <w:r>
        <w:fldChar w:fldCharType="end"/>
      </w:r>
      <w:r>
        <w:rPr>
          <w:rFonts w:hint="eastAsia"/>
        </w:rPr>
        <w:t>.12的</w:t>
      </w:r>
      <w:r>
        <w:t>规定进行燃料电池模块的气密性试验。</w:t>
      </w:r>
    </w:p>
    <w:p w14:paraId="431D60E1">
      <w:pPr>
        <w:pStyle w:val="69"/>
        <w:spacing w:before="156" w:after="156"/>
      </w:pPr>
      <w:r>
        <w:t>绝缘试验</w:t>
      </w:r>
    </w:p>
    <w:p w14:paraId="591A67FC">
      <w:pPr>
        <w:pStyle w:val="123"/>
        <w:rPr>
          <w:rFonts w:hint="eastAsia"/>
        </w:rPr>
      </w:pPr>
      <w:r>
        <w:t>按</w:t>
      </w:r>
      <w:r>
        <w:rPr>
          <w:rFonts w:hint="eastAsia"/>
        </w:rPr>
        <w:t>本文件5.11</w:t>
      </w:r>
      <w:r>
        <w:t>的规定进行燃料电池模块的绝缘试验。</w:t>
      </w:r>
    </w:p>
    <w:p w14:paraId="65141CFD">
      <w:pPr>
        <w:pStyle w:val="69"/>
        <w:spacing w:before="156" w:after="156"/>
      </w:pPr>
      <w:r>
        <w:t>正常运行试验</w:t>
      </w:r>
    </w:p>
    <w:p w14:paraId="4FA90C12">
      <w:pPr>
        <w:pStyle w:val="123"/>
        <w:rPr>
          <w:rFonts w:hint="eastAsia"/>
        </w:rPr>
      </w:pPr>
      <w:r>
        <w:t>按</w:t>
      </w:r>
      <w:r>
        <w:rPr>
          <w:rFonts w:hint="eastAsia"/>
        </w:rPr>
        <w:t>本文件5.5</w:t>
      </w:r>
      <w:r>
        <w:t>的规定进行燃料电池模块的正常运行试验。</w:t>
      </w:r>
    </w:p>
    <w:p w14:paraId="2340F98A">
      <w:pPr>
        <w:pStyle w:val="67"/>
        <w:spacing w:before="312" w:after="312"/>
        <w:rPr>
          <w:rFonts w:hint="default"/>
        </w:rPr>
      </w:pPr>
      <w:bookmarkStart w:id="62" w:name="_Toc201066996"/>
      <w:bookmarkStart w:id="63" w:name="_Toc16816"/>
      <w:r>
        <w:t>标识与操作指南</w:t>
      </w:r>
      <w:bookmarkEnd w:id="62"/>
      <w:bookmarkEnd w:id="63"/>
    </w:p>
    <w:p w14:paraId="0EB1E54C">
      <w:pPr>
        <w:pStyle w:val="68"/>
        <w:spacing w:before="156" w:after="156"/>
        <w:rPr>
          <w:rFonts w:hint="default"/>
        </w:rPr>
      </w:pPr>
      <w:bookmarkStart w:id="64" w:name="_Toc201066997"/>
      <w:r>
        <w:t>铭牌</w:t>
      </w:r>
      <w:bookmarkEnd w:id="64"/>
    </w:p>
    <w:p w14:paraId="59B656FF">
      <w:pPr>
        <w:pStyle w:val="123"/>
        <w:rPr>
          <w:rFonts w:hint="eastAsia"/>
        </w:rPr>
      </w:pPr>
      <w:r>
        <w:t>铭牌应永久固定在燃料电池模块上，考虑化学腐蚀、热和环境影响，铭牌应持久而易见。铭牌应至少包含如下信息：</w:t>
      </w:r>
    </w:p>
    <w:p w14:paraId="43344BEE">
      <w:pPr>
        <w:pStyle w:val="55"/>
        <w:numPr>
          <w:ilvl w:val="0"/>
          <w:numId w:val="27"/>
        </w:numPr>
        <w:rPr>
          <w:rFonts w:hint="default"/>
        </w:rPr>
      </w:pPr>
      <w:r>
        <w:t>制造商名称，或注册商标；</w:t>
      </w:r>
    </w:p>
    <w:p w14:paraId="4851B464">
      <w:pPr>
        <w:pStyle w:val="55"/>
        <w:rPr>
          <w:rFonts w:hint="default"/>
        </w:rPr>
      </w:pPr>
      <w:r>
        <w:t>模块 ID；</w:t>
      </w:r>
    </w:p>
    <w:p w14:paraId="01822C62">
      <w:pPr>
        <w:pStyle w:val="55"/>
        <w:rPr>
          <w:rFonts w:hint="default"/>
        </w:rPr>
      </w:pPr>
      <w:r>
        <w:t>日期编码或者可追溯到生产日期的序列号；</w:t>
      </w:r>
    </w:p>
    <w:p w14:paraId="79ED6D16">
      <w:pPr>
        <w:pStyle w:val="55"/>
        <w:rPr>
          <w:rFonts w:hint="default"/>
        </w:rPr>
      </w:pPr>
      <w:r>
        <w:t>性能参数；</w:t>
      </w:r>
    </w:p>
    <w:p w14:paraId="247EDBC2">
      <w:pPr>
        <w:pStyle w:val="55"/>
        <w:rPr>
          <w:rFonts w:hint="default"/>
        </w:rPr>
      </w:pPr>
      <w:r>
        <w:t>适用气体种类/浓度。</w:t>
      </w:r>
    </w:p>
    <w:p w14:paraId="31C15CBF">
      <w:pPr>
        <w:pStyle w:val="68"/>
        <w:spacing w:before="156" w:after="156"/>
        <w:rPr>
          <w:rFonts w:hint="default"/>
        </w:rPr>
      </w:pPr>
      <w:bookmarkStart w:id="65" w:name="_Toc201066998"/>
      <w:r>
        <w:t>标识</w:t>
      </w:r>
      <w:bookmarkEnd w:id="65"/>
    </w:p>
    <w:p w14:paraId="620FD8DC">
      <w:pPr>
        <w:pStyle w:val="123"/>
        <w:rPr>
          <w:rFonts w:hint="eastAsia"/>
        </w:rPr>
      </w:pPr>
      <w:r>
        <w:t>应标明互换连接导致的不安全情况。如可行，应标示反极连接和接地。</w:t>
      </w:r>
    </w:p>
    <w:p w14:paraId="14FF6915">
      <w:pPr>
        <w:pStyle w:val="68"/>
        <w:spacing w:before="156" w:after="156"/>
        <w:rPr>
          <w:rFonts w:hint="default"/>
        </w:rPr>
      </w:pPr>
      <w:bookmarkStart w:id="66" w:name="_Toc201066999"/>
      <w:r>
        <w:t>警示标签</w:t>
      </w:r>
      <w:bookmarkEnd w:id="66"/>
    </w:p>
    <w:p w14:paraId="256F1975">
      <w:pPr>
        <w:pStyle w:val="123"/>
        <w:rPr>
          <w:rFonts w:hint="eastAsia"/>
        </w:rPr>
      </w:pPr>
      <w:r>
        <w:t>根据情况使用如下警示标签：</w:t>
      </w:r>
    </w:p>
    <w:p w14:paraId="32305447">
      <w:pPr>
        <w:pStyle w:val="52"/>
        <w:rPr>
          <w:rFonts w:hint="default"/>
        </w:rPr>
      </w:pPr>
      <w:r>
        <w:t>振动危险；</w:t>
      </w:r>
    </w:p>
    <w:p w14:paraId="031DF92B">
      <w:pPr>
        <w:pStyle w:val="52"/>
        <w:rPr>
          <w:rFonts w:hint="default"/>
        </w:rPr>
      </w:pPr>
      <w:r>
        <w:t>高温；</w:t>
      </w:r>
    </w:p>
    <w:p w14:paraId="2FECA423">
      <w:pPr>
        <w:pStyle w:val="52"/>
        <w:rPr>
          <w:rFonts w:hint="default"/>
        </w:rPr>
      </w:pPr>
      <w:r>
        <w:t>易燃气体或液体；</w:t>
      </w:r>
    </w:p>
    <w:p w14:paraId="2461B16E">
      <w:pPr>
        <w:pStyle w:val="52"/>
        <w:rPr>
          <w:rFonts w:hint="default"/>
        </w:rPr>
      </w:pPr>
      <w:r>
        <w:t>腐蚀性介质；</w:t>
      </w:r>
    </w:p>
    <w:p w14:paraId="52E083DB">
      <w:pPr>
        <w:pStyle w:val="52"/>
        <w:rPr>
          <w:rFonts w:hint="default"/>
        </w:rPr>
      </w:pPr>
      <w:r>
        <w:t>有毒介质。</w:t>
      </w:r>
    </w:p>
    <w:p w14:paraId="0A2F398F">
      <w:pPr>
        <w:pStyle w:val="123"/>
        <w:rPr>
          <w:rFonts w:hint="eastAsia"/>
        </w:rPr>
      </w:pPr>
      <w:r>
        <w:t>高电压需要在燃料电池模块上贴示“优先处理短路”标签。</w:t>
      </w:r>
    </w:p>
    <w:p w14:paraId="50BFE3FC">
      <w:pPr>
        <w:pStyle w:val="68"/>
        <w:spacing w:before="156" w:after="156"/>
        <w:rPr>
          <w:rFonts w:hint="default"/>
        </w:rPr>
      </w:pPr>
      <w:bookmarkStart w:id="67" w:name="_Toc201067000"/>
      <w:r>
        <w:t>文件</w:t>
      </w:r>
      <w:bookmarkEnd w:id="67"/>
    </w:p>
    <w:p w14:paraId="6C9A2DDC">
      <w:pPr>
        <w:pStyle w:val="69"/>
        <w:spacing w:before="156" w:after="156"/>
      </w:pPr>
      <w:r>
        <w:t>总则</w:t>
      </w:r>
    </w:p>
    <w:p w14:paraId="71DE3FAA">
      <w:pPr>
        <w:pStyle w:val="123"/>
        <w:rPr>
          <w:rFonts w:hint="eastAsia"/>
        </w:rPr>
      </w:pPr>
      <w:r>
        <w:t>以图、图表、表格和使用说明的形式提供燃料电池模块所</w:t>
      </w:r>
      <w:r>
        <w:rPr>
          <w:rFonts w:hint="eastAsia"/>
        </w:rPr>
        <w:t>必需</w:t>
      </w:r>
      <w:r>
        <w:t>的集成、安装、运行和维护信息。</w:t>
      </w:r>
    </w:p>
    <w:p w14:paraId="763D4894">
      <w:pPr>
        <w:pStyle w:val="123"/>
        <w:rPr>
          <w:rFonts w:hint="eastAsia"/>
        </w:rPr>
      </w:pPr>
      <w:r>
        <w:t>如果燃料电池模块个体之间存在差别，燃料电池模块制造商应提供给系统集成商每个模块的技术文件说明。</w:t>
      </w:r>
    </w:p>
    <w:p w14:paraId="28163E4B">
      <w:pPr>
        <w:pStyle w:val="123"/>
        <w:rPr>
          <w:rFonts w:hint="eastAsia"/>
        </w:rPr>
      </w:pPr>
      <w:r>
        <w:t>对于以上文件，燃料电池模块制造商应选择以下一种方法:</w:t>
      </w:r>
    </w:p>
    <w:p w14:paraId="786085B4">
      <w:pPr>
        <w:pStyle w:val="52"/>
        <w:rPr>
          <w:rFonts w:hint="default"/>
        </w:rPr>
      </w:pPr>
      <w:r>
        <w:t>以上所有文件互为参照；或</w:t>
      </w:r>
    </w:p>
    <w:p w14:paraId="29F64F04">
      <w:pPr>
        <w:pStyle w:val="52"/>
        <w:rPr>
          <w:rFonts w:hint="default"/>
        </w:rPr>
      </w:pPr>
      <w:r>
        <w:t>所有文件编号，制作文件目录。</w:t>
      </w:r>
    </w:p>
    <w:p w14:paraId="69421368">
      <w:pPr>
        <w:pStyle w:val="123"/>
        <w:rPr>
          <w:rFonts w:hint="eastAsia"/>
        </w:rPr>
      </w:pPr>
      <w:r>
        <w:t>第1个措施仅适用于文件数量较少的情况（不多于5个）。</w:t>
      </w:r>
    </w:p>
    <w:p w14:paraId="26EF7D83">
      <w:pPr>
        <w:pStyle w:val="123"/>
        <w:rPr>
          <w:rFonts w:hint="eastAsia"/>
        </w:rPr>
      </w:pPr>
      <w:r>
        <w:t>以下信息提供给系统集成商：</w:t>
      </w:r>
    </w:p>
    <w:p w14:paraId="4CAEC050">
      <w:pPr>
        <w:pStyle w:val="55"/>
        <w:numPr>
          <w:ilvl w:val="0"/>
          <w:numId w:val="28"/>
        </w:numPr>
        <w:rPr>
          <w:rFonts w:hint="default"/>
        </w:rPr>
      </w:pPr>
      <w:r>
        <w:t>4.1所述通用安全策略；</w:t>
      </w:r>
    </w:p>
    <w:p w14:paraId="67149FF7">
      <w:pPr>
        <w:pStyle w:val="55"/>
        <w:rPr>
          <w:rFonts w:hint="default"/>
        </w:rPr>
      </w:pPr>
      <w:r>
        <w:t>燃料和氧化剂类型，可用的燃料和氧化剂种类（气体成分、纯度等）；</w:t>
      </w:r>
    </w:p>
    <w:p w14:paraId="1D49BDF2">
      <w:pPr>
        <w:pStyle w:val="55"/>
        <w:rPr>
          <w:rFonts w:hint="default"/>
        </w:rPr>
      </w:pPr>
      <w:r>
        <w:t>燃料和氧化剂气体输送压力（最大压力和最小压力）；</w:t>
      </w:r>
    </w:p>
    <w:p w14:paraId="3108A004">
      <w:pPr>
        <w:pStyle w:val="55"/>
        <w:rPr>
          <w:rFonts w:hint="default"/>
        </w:rPr>
      </w:pPr>
      <w:r>
        <w:t>额定功率和最大功率下燃料和氧化剂用量；</w:t>
      </w:r>
    </w:p>
    <w:p w14:paraId="32EF8EA6">
      <w:pPr>
        <w:pStyle w:val="55"/>
        <w:rPr>
          <w:rFonts w:hint="default"/>
        </w:rPr>
      </w:pPr>
      <w:r>
        <w:t>气体泄漏率（气腔外漏、冷却液腔外漏、阴阳极内窜）；</w:t>
      </w:r>
    </w:p>
    <w:p w14:paraId="2B403DF0">
      <w:pPr>
        <w:pStyle w:val="55"/>
        <w:rPr>
          <w:rFonts w:hint="default"/>
        </w:rPr>
      </w:pPr>
      <w:r>
        <w:t>可用燃料和氧化剂输送温度；</w:t>
      </w:r>
    </w:p>
    <w:p w14:paraId="5A94EC8A">
      <w:pPr>
        <w:pStyle w:val="55"/>
        <w:rPr>
          <w:rFonts w:hint="default"/>
        </w:rPr>
      </w:pPr>
      <w:r>
        <w:t>最高排气温度；</w:t>
      </w:r>
    </w:p>
    <w:p w14:paraId="1E43477F">
      <w:pPr>
        <w:pStyle w:val="55"/>
        <w:rPr>
          <w:rFonts w:hint="default"/>
        </w:rPr>
      </w:pPr>
      <w:r>
        <w:t>典型排放；</w:t>
      </w:r>
    </w:p>
    <w:p w14:paraId="161A930E">
      <w:pPr>
        <w:pStyle w:val="55"/>
        <w:rPr>
          <w:rFonts w:hint="default"/>
        </w:rPr>
      </w:pPr>
      <w:r>
        <w:t>操作、储存环境温度、湿度范围；</w:t>
      </w:r>
    </w:p>
    <w:p w14:paraId="1488313E">
      <w:pPr>
        <w:pStyle w:val="55"/>
        <w:rPr>
          <w:rFonts w:hint="default"/>
        </w:rPr>
      </w:pPr>
      <w:r>
        <w:t>海拔范围；</w:t>
      </w:r>
    </w:p>
    <w:p w14:paraId="47D5D0FE">
      <w:pPr>
        <w:pStyle w:val="55"/>
        <w:rPr>
          <w:rFonts w:hint="default"/>
        </w:rPr>
      </w:pPr>
      <w:r>
        <w:t>允许冲击和振动等级；</w:t>
      </w:r>
    </w:p>
    <w:p w14:paraId="70BF8653">
      <w:pPr>
        <w:pStyle w:val="55"/>
        <w:rPr>
          <w:rFonts w:hint="default"/>
        </w:rPr>
      </w:pPr>
      <w:r>
        <w:t>正常运行温度；</w:t>
      </w:r>
    </w:p>
    <w:p w14:paraId="7E910720">
      <w:pPr>
        <w:pStyle w:val="55"/>
        <w:rPr>
          <w:rFonts w:hint="default"/>
        </w:rPr>
      </w:pPr>
      <w:r>
        <w:t>最高表面温度；</w:t>
      </w:r>
    </w:p>
    <w:p w14:paraId="1CCB42E6">
      <w:pPr>
        <w:pStyle w:val="55"/>
        <w:rPr>
          <w:rFonts w:hint="default"/>
        </w:rPr>
      </w:pPr>
      <w:r>
        <w:t>冷却剂种类；</w:t>
      </w:r>
    </w:p>
    <w:p w14:paraId="3CD2372A">
      <w:pPr>
        <w:pStyle w:val="55"/>
        <w:rPr>
          <w:rFonts w:hint="default"/>
        </w:rPr>
      </w:pPr>
      <w:r>
        <w:t>冷却剂入口出口测量点温度；</w:t>
      </w:r>
    </w:p>
    <w:p w14:paraId="679B1647">
      <w:pPr>
        <w:pStyle w:val="55"/>
        <w:rPr>
          <w:rFonts w:hint="default"/>
        </w:rPr>
      </w:pPr>
      <w:r>
        <w:t>冷却剂输送压力和流量范围；</w:t>
      </w:r>
    </w:p>
    <w:p w14:paraId="43B2A1B2">
      <w:pPr>
        <w:pStyle w:val="55"/>
        <w:rPr>
          <w:rFonts w:hint="default"/>
        </w:rPr>
      </w:pPr>
      <w:r>
        <w:t>过载电流/过载/过压/欠压和其他保护装置的类型和特点；</w:t>
      </w:r>
    </w:p>
    <w:p w14:paraId="36F205D4">
      <w:pPr>
        <w:pStyle w:val="55"/>
        <w:rPr>
          <w:rFonts w:hint="default"/>
        </w:rPr>
      </w:pPr>
      <w:r>
        <w:t>吹扫和通风流量要求；</w:t>
      </w:r>
    </w:p>
    <w:p w14:paraId="7DD65986">
      <w:pPr>
        <w:pStyle w:val="55"/>
        <w:rPr>
          <w:rFonts w:hint="default"/>
        </w:rPr>
      </w:pPr>
      <w:r>
        <w:t>尺寸；</w:t>
      </w:r>
    </w:p>
    <w:p w14:paraId="23355CC6">
      <w:pPr>
        <w:pStyle w:val="55"/>
        <w:rPr>
          <w:rFonts w:hint="default"/>
        </w:rPr>
      </w:pPr>
      <w:r>
        <w:t>重量；</w:t>
      </w:r>
    </w:p>
    <w:p w14:paraId="5134CB68">
      <w:pPr>
        <w:pStyle w:val="55"/>
        <w:rPr>
          <w:rFonts w:hint="default"/>
        </w:rPr>
      </w:pPr>
      <w:r>
        <w:t xml:space="preserve">电力输出额定值（额定电压、额定电流、额定功率、开路电压、满负荷电流电压）； </w:t>
      </w:r>
    </w:p>
    <w:p w14:paraId="716C2673">
      <w:pPr>
        <w:pStyle w:val="55"/>
        <w:rPr>
          <w:rFonts w:hint="default"/>
        </w:rPr>
      </w:pPr>
      <w:r>
        <w:t>最大过载；</w:t>
      </w:r>
    </w:p>
    <w:p w14:paraId="5D0C0987">
      <w:pPr>
        <w:pStyle w:val="55"/>
        <w:rPr>
          <w:rFonts w:hint="default"/>
        </w:rPr>
      </w:pPr>
      <w:r>
        <w:t>辅助功率供给（例如电压、频率、功率）；</w:t>
      </w:r>
    </w:p>
    <w:p w14:paraId="31D674B5">
      <w:pPr>
        <w:pStyle w:val="55"/>
        <w:rPr>
          <w:rFonts w:hint="default"/>
        </w:rPr>
      </w:pPr>
      <w:r>
        <w:t>使用最终产品所需包含的组件；</w:t>
      </w:r>
    </w:p>
    <w:p w14:paraId="0B48167A">
      <w:pPr>
        <w:pStyle w:val="55"/>
        <w:rPr>
          <w:rFonts w:hint="default"/>
        </w:rPr>
      </w:pPr>
      <w:r>
        <w:t>接地连接位置；</w:t>
      </w:r>
    </w:p>
    <w:p w14:paraId="67930E2D">
      <w:pPr>
        <w:pStyle w:val="55"/>
        <w:rPr>
          <w:rFonts w:hint="default"/>
        </w:rPr>
      </w:pPr>
      <w:r>
        <w:t>有关寿命终端的其他信息。</w:t>
      </w:r>
    </w:p>
    <w:p w14:paraId="0F93B59C">
      <w:pPr>
        <w:pStyle w:val="123"/>
        <w:rPr>
          <w:rFonts w:hint="eastAsia"/>
        </w:rPr>
      </w:pPr>
      <w:r>
        <w:t>考虑回收和处理要求。</w:t>
      </w:r>
    </w:p>
    <w:p w14:paraId="30AACC4F">
      <w:pPr>
        <w:pStyle w:val="69"/>
        <w:spacing w:before="156" w:after="156"/>
      </w:pPr>
      <w:r>
        <w:t>安装手册</w:t>
      </w:r>
    </w:p>
    <w:p w14:paraId="236CB3BD">
      <w:pPr>
        <w:pStyle w:val="123"/>
        <w:rPr>
          <w:rFonts w:hint="eastAsia"/>
        </w:rPr>
      </w:pPr>
      <w:r>
        <w:t>安装手册中应对燃料电池模块的安装、电连接、燃料连接、氧化剂连接和冷却系统连接给予全面且明确的描述，只要模块中存在上述部分。</w:t>
      </w:r>
    </w:p>
    <w:p w14:paraId="1C38269D">
      <w:pPr>
        <w:pStyle w:val="52"/>
        <w:rPr>
          <w:rFonts w:hint="default"/>
        </w:rPr>
      </w:pPr>
      <w:r>
        <w:t>安装手册中应包括：</w:t>
      </w:r>
    </w:p>
    <w:p w14:paraId="312E1D6B">
      <w:pPr>
        <w:pStyle w:val="52"/>
        <w:rPr>
          <w:rFonts w:hint="default"/>
        </w:rPr>
      </w:pPr>
      <w:r>
        <w:t>装卸、运输和储存；</w:t>
      </w:r>
    </w:p>
    <w:p w14:paraId="512B572E">
      <w:pPr>
        <w:pStyle w:val="52"/>
        <w:rPr>
          <w:rFonts w:hint="default"/>
        </w:rPr>
      </w:pPr>
      <w:r>
        <w:t>准备工作；</w:t>
      </w:r>
    </w:p>
    <w:p w14:paraId="06BC5A3A">
      <w:pPr>
        <w:pStyle w:val="52"/>
        <w:rPr>
          <w:rFonts w:hint="default"/>
        </w:rPr>
      </w:pPr>
      <w:r>
        <w:t>方向（上侧和下侧的位置等）；</w:t>
      </w:r>
    </w:p>
    <w:p w14:paraId="02DE26BC">
      <w:pPr>
        <w:pStyle w:val="52"/>
        <w:rPr>
          <w:rFonts w:hint="default"/>
        </w:rPr>
      </w:pPr>
      <w:r>
        <w:t>模块固定方法；</w:t>
      </w:r>
    </w:p>
    <w:p w14:paraId="1F80AE99">
      <w:pPr>
        <w:pStyle w:val="52"/>
        <w:rPr>
          <w:rFonts w:hint="default"/>
        </w:rPr>
      </w:pPr>
      <w:r>
        <w:t>气体和冷却管道连接方法；</w:t>
      </w:r>
    </w:p>
    <w:p w14:paraId="26B6F52F">
      <w:pPr>
        <w:pStyle w:val="52"/>
        <w:rPr>
          <w:rFonts w:hint="default"/>
        </w:rPr>
      </w:pPr>
      <w:r>
        <w:t>电气线路和传感器的连接方法；</w:t>
      </w:r>
    </w:p>
    <w:p w14:paraId="53E8CF22">
      <w:pPr>
        <w:pStyle w:val="52"/>
        <w:rPr>
          <w:rFonts w:hint="default"/>
        </w:rPr>
      </w:pPr>
      <w:r>
        <w:t>一般注意事项和禁止操作；</w:t>
      </w:r>
    </w:p>
    <w:p w14:paraId="255F3AFF">
      <w:pPr>
        <w:pStyle w:val="52"/>
        <w:rPr>
          <w:rFonts w:hint="default"/>
        </w:rPr>
      </w:pPr>
      <w:r>
        <w:t>适当的概览图解；</w:t>
      </w:r>
    </w:p>
    <w:p w14:paraId="516714D7">
      <w:pPr>
        <w:pStyle w:val="52"/>
        <w:rPr>
          <w:rFonts w:hint="default"/>
        </w:rPr>
      </w:pPr>
      <w:r>
        <w:t>电路图。</w:t>
      </w:r>
    </w:p>
    <w:p w14:paraId="7A974B87">
      <w:pPr>
        <w:pStyle w:val="69"/>
        <w:spacing w:before="156" w:after="156"/>
      </w:pPr>
      <w:r>
        <w:t>安装图</w:t>
      </w:r>
    </w:p>
    <w:p w14:paraId="19396891">
      <w:pPr>
        <w:pStyle w:val="70"/>
        <w:spacing w:before="156" w:after="156"/>
      </w:pPr>
      <w:r>
        <w:t>总则</w:t>
      </w:r>
    </w:p>
    <w:p w14:paraId="4A6D3327">
      <w:pPr>
        <w:pStyle w:val="123"/>
        <w:rPr>
          <w:rFonts w:hint="eastAsia"/>
        </w:rPr>
      </w:pPr>
      <w:r>
        <w:t>安装图应提供建立燃料电池模块的前期工作所有</w:t>
      </w:r>
      <w:r>
        <w:rPr>
          <w:rFonts w:hint="eastAsia"/>
        </w:rPr>
        <w:t>必需的</w:t>
      </w:r>
      <w:r>
        <w:t>信息。复杂情况下需要提供详细的装配图。</w:t>
      </w:r>
    </w:p>
    <w:p w14:paraId="5A504D03">
      <w:pPr>
        <w:pStyle w:val="123"/>
        <w:rPr>
          <w:rFonts w:hint="eastAsia"/>
        </w:rPr>
      </w:pPr>
      <w:r>
        <w:t>应明确标示现场安装所用的输送配件、电线、软管和管路等的推荐位置和种类。</w:t>
      </w:r>
    </w:p>
    <w:p w14:paraId="55A750DE">
      <w:pPr>
        <w:pStyle w:val="123"/>
        <w:rPr>
          <w:rFonts w:hint="eastAsia"/>
        </w:rPr>
      </w:pPr>
      <w:r>
        <w:t>应对所选防护设备的种类、特性、类别及背景加以说明。</w:t>
      </w:r>
    </w:p>
    <w:p w14:paraId="0ED63A41">
      <w:pPr>
        <w:pStyle w:val="123"/>
        <w:rPr>
          <w:rFonts w:hint="eastAsia"/>
        </w:rPr>
      </w:pPr>
      <w:r>
        <w:t>应详细说明提供给用户的管路、托盘或燃料电池模块及相关设备间支持部件的尺寸、类型及作用。</w:t>
      </w:r>
    </w:p>
    <w:p w14:paraId="4B858EC7">
      <w:pPr>
        <w:pStyle w:val="123"/>
        <w:rPr>
          <w:rFonts w:hint="eastAsia"/>
        </w:rPr>
      </w:pPr>
      <w:r>
        <w:t>必要时，应有图表说明移出或维修燃料电池模块所需的空间。</w:t>
      </w:r>
    </w:p>
    <w:p w14:paraId="5DC346DA">
      <w:pPr>
        <w:pStyle w:val="123"/>
        <w:rPr>
          <w:rFonts w:hint="eastAsia"/>
        </w:rPr>
      </w:pPr>
      <w:r>
        <w:t>此外，在适当情况下应提供接线图或表。该图或表应提供有关的所有外部连接全部信息。</w:t>
      </w:r>
    </w:p>
    <w:p w14:paraId="2781FBE1">
      <w:pPr>
        <w:pStyle w:val="70"/>
        <w:spacing w:before="156" w:after="156"/>
      </w:pPr>
      <w:r>
        <w:t>方块（系统）图与工作原理图</w:t>
      </w:r>
    </w:p>
    <w:p w14:paraId="40A8A2AE">
      <w:pPr>
        <w:pStyle w:val="123"/>
        <w:rPr>
          <w:rFonts w:hint="eastAsia"/>
        </w:rPr>
      </w:pPr>
      <w:r>
        <w:t>如果需要方便理解模块工作原理，应提供方块（系统）图。方块（系统）图可象征性</w:t>
      </w:r>
      <w:r>
        <w:rPr>
          <w:rFonts w:hint="eastAsia"/>
        </w:rPr>
        <w:t>地</w:t>
      </w:r>
      <w:r>
        <w:t>表明燃料电池模块与其功能间的相互关系，不必绘出全部连接。</w:t>
      </w:r>
    </w:p>
    <w:p w14:paraId="2075D30A">
      <w:pPr>
        <w:pStyle w:val="123"/>
        <w:rPr>
          <w:rFonts w:hint="eastAsia"/>
        </w:rPr>
      </w:pPr>
      <w:r>
        <w:t>工作原理图可以是方块（系统）图的组成部分或是额外补充。</w:t>
      </w:r>
    </w:p>
    <w:p w14:paraId="632DFAB3">
      <w:pPr>
        <w:pStyle w:val="70"/>
        <w:spacing w:before="156" w:after="156"/>
      </w:pPr>
      <w:r>
        <w:t>电路图</w:t>
      </w:r>
    </w:p>
    <w:p w14:paraId="75F79D96">
      <w:pPr>
        <w:pStyle w:val="123"/>
        <w:rPr>
          <w:rFonts w:hint="eastAsia"/>
        </w:rPr>
      </w:pPr>
      <w:r>
        <w:t>若方块（系统）图不能详细说明燃料电池模块单元的基本细节，应提供不同电路详细图解。这些图表将说明燃料电池模块及其相关设备的电路。若图形符号IEC 60617中没有提及，应单独用图表或支持文件进行说明或描述。该零部件及设备的符号在所有文件和燃料电池模块中应前后一致。</w:t>
      </w:r>
    </w:p>
    <w:p w14:paraId="3765674C">
      <w:pPr>
        <w:pStyle w:val="123"/>
        <w:rPr>
          <w:rFonts w:hint="eastAsia"/>
        </w:rPr>
      </w:pPr>
      <w:r>
        <w:t>在适当情况下，应提供能看到终端、连接点的图及类似界面图。该图可与电路图结合简化。图中应包含所示每个单元详细电路图。</w:t>
      </w:r>
    </w:p>
    <w:p w14:paraId="4838A65A">
      <w:pPr>
        <w:pStyle w:val="123"/>
        <w:rPr>
          <w:rFonts w:hint="eastAsia"/>
        </w:rPr>
      </w:pPr>
      <w:r>
        <w:t>电路应能够帮助加深理解功能及维修。如果控制装置和组件功能相关特性用符号表达不够明显，应在图旁标注或引用脚注。</w:t>
      </w:r>
    </w:p>
    <w:p w14:paraId="40529912">
      <w:pPr>
        <w:pStyle w:val="69"/>
        <w:spacing w:before="156" w:after="156"/>
      </w:pPr>
      <w:r>
        <w:t>操作手册</w:t>
      </w:r>
    </w:p>
    <w:p w14:paraId="3BC7213B">
      <w:pPr>
        <w:pStyle w:val="123"/>
        <w:rPr>
          <w:rFonts w:hint="eastAsia"/>
        </w:rPr>
      </w:pPr>
      <w:r>
        <w:t>技术文件应包含操作手册，详细说明燃料电池模块安装和使用步骤。应特别注意安全措施并预估</w:t>
      </w:r>
      <w:r>
        <w:rPr>
          <w:rFonts w:hint="eastAsia"/>
        </w:rPr>
        <w:t>潜在</w:t>
      </w:r>
      <w:r>
        <w:t>的不当操作。</w:t>
      </w:r>
    </w:p>
    <w:p w14:paraId="6152982B">
      <w:pPr>
        <w:pStyle w:val="123"/>
        <w:rPr>
          <w:rFonts w:hint="eastAsia"/>
        </w:rPr>
      </w:pPr>
      <w:r>
        <w:t>如燃料电池模块可以编程操作，应提供关于编程方法、所需设备、程序验证和附加安全规程的详细信息。</w:t>
      </w:r>
    </w:p>
    <w:p w14:paraId="38A48B41">
      <w:pPr>
        <w:pStyle w:val="123"/>
        <w:rPr>
          <w:rFonts w:hint="eastAsia"/>
        </w:rPr>
      </w:pPr>
      <w:r>
        <w:t>操作手册应包括：</w:t>
      </w:r>
    </w:p>
    <w:p w14:paraId="1B7F0A17">
      <w:pPr>
        <w:pStyle w:val="52"/>
        <w:rPr>
          <w:rFonts w:hint="default"/>
        </w:rPr>
      </w:pPr>
      <w:r>
        <w:t>启动和运行步骤；</w:t>
      </w:r>
    </w:p>
    <w:p w14:paraId="73B2E726">
      <w:pPr>
        <w:pStyle w:val="52"/>
        <w:rPr>
          <w:rFonts w:hint="default"/>
        </w:rPr>
      </w:pPr>
      <w:r>
        <w:t>操作步骤；</w:t>
      </w:r>
    </w:p>
    <w:p w14:paraId="315A91FE">
      <w:pPr>
        <w:pStyle w:val="52"/>
        <w:rPr>
          <w:rFonts w:hint="default"/>
        </w:rPr>
      </w:pPr>
      <w:r>
        <w:t>检查频率；</w:t>
      </w:r>
    </w:p>
    <w:p w14:paraId="7A9F9A68">
      <w:pPr>
        <w:pStyle w:val="52"/>
        <w:rPr>
          <w:rFonts w:hint="default"/>
        </w:rPr>
      </w:pPr>
      <w:r>
        <w:t>正常和紧急关机程序；</w:t>
      </w:r>
    </w:p>
    <w:p w14:paraId="57F37F84">
      <w:pPr>
        <w:pStyle w:val="52"/>
        <w:rPr>
          <w:rFonts w:hint="default"/>
        </w:rPr>
      </w:pPr>
      <w:r>
        <w:t>贮存步骤和条件；</w:t>
      </w:r>
    </w:p>
    <w:p w14:paraId="336FCEFC">
      <w:pPr>
        <w:pStyle w:val="52"/>
        <w:rPr>
          <w:rFonts w:hint="default"/>
        </w:rPr>
      </w:pPr>
      <w:r>
        <w:t>一般事项和禁止操作；</w:t>
      </w:r>
    </w:p>
    <w:p w14:paraId="63645FD4">
      <w:pPr>
        <w:pStyle w:val="52"/>
        <w:rPr>
          <w:rFonts w:hint="default"/>
        </w:rPr>
      </w:pPr>
      <w:r>
        <w:t>适用物理环境信息（例如，工作环境温度范围、振动、噪声、大气污染物）。</w:t>
      </w:r>
    </w:p>
    <w:p w14:paraId="1CBD3065">
      <w:pPr>
        <w:pStyle w:val="69"/>
        <w:spacing w:before="156" w:after="156"/>
      </w:pPr>
      <w:r>
        <w:t>维护手册</w:t>
      </w:r>
    </w:p>
    <w:p w14:paraId="20F64725">
      <w:pPr>
        <w:pStyle w:val="123"/>
        <w:rPr>
          <w:rFonts w:hint="eastAsia"/>
        </w:rPr>
      </w:pPr>
      <w:r>
        <w:t>技术文件应包含维修手册，详细介绍维护、服务、预防性检查和维修的妥善步骤和时间间隔。建议手册中包含维修/服务记录。必须提供正确操作的验证方法（例如，软件测试程序）。</w:t>
      </w:r>
    </w:p>
    <w:p w14:paraId="23140F9D">
      <w:pPr>
        <w:pStyle w:val="123"/>
        <w:rPr>
          <w:rFonts w:hint="eastAsia"/>
        </w:rPr>
      </w:pPr>
      <w:r>
        <w:t>燃料电池零部件制造商应指导妥善处理和回收零件。</w:t>
      </w:r>
    </w:p>
    <w:p w14:paraId="53A7C437">
      <w:pPr>
        <w:pStyle w:val="69"/>
        <w:spacing w:before="156" w:after="156"/>
      </w:pPr>
      <w:r>
        <w:t>部件清单</w:t>
      </w:r>
    </w:p>
    <w:p w14:paraId="661F4513">
      <w:pPr>
        <w:pStyle w:val="20"/>
        <w:ind w:firstLine="420"/>
        <w:rPr>
          <w:rFonts w:hint="default"/>
        </w:rPr>
      </w:pPr>
      <w:r>
        <w:t>部件清单最少应含有订购备件或正常运行替换零件和预防性维护或燃料电池模块用户建议进行的故障检修所需的必要信息（例如，组件、设备、软件、测试设备、技术文件）。</w:t>
      </w:r>
    </w:p>
    <w:p w14:paraId="44268ADC">
      <w:pPr>
        <w:pStyle w:val="67"/>
        <w:spacing w:before="312" w:after="312"/>
        <w:rPr>
          <w:highlight w:val="none"/>
        </w:rPr>
      </w:pPr>
      <w:bookmarkStart w:id="68" w:name="_Toc176938613"/>
      <w:bookmarkStart w:id="69" w:name="_Toc201067001"/>
      <w:r>
        <w:rPr>
          <w:highlight w:val="none"/>
        </w:rPr>
        <w:t>质量承诺</w:t>
      </w:r>
      <w:bookmarkEnd w:id="68"/>
      <w:bookmarkEnd w:id="69"/>
      <w:bookmarkStart w:id="70" w:name="_GoBack"/>
      <w:bookmarkEnd w:id="70"/>
    </w:p>
    <w:p w14:paraId="15A9E288">
      <w:pPr>
        <w:pStyle w:val="73"/>
        <w:rPr>
          <w:highlight w:val="none"/>
        </w:rPr>
      </w:pPr>
      <w:r>
        <w:rPr>
          <w:highlight w:val="none"/>
        </w:rPr>
        <w:t>用户在遵守产品使用说明书规定的操作条件下，自购买产品之日起，产品质保期12个月。质保期间若因质量问题造成产品故障的，制造商应负责免费维修或更换。</w:t>
      </w:r>
    </w:p>
    <w:p w14:paraId="31642F42">
      <w:pPr>
        <w:pStyle w:val="73"/>
        <w:rPr>
          <w:highlight w:val="none"/>
        </w:rPr>
      </w:pPr>
      <w:r>
        <w:rPr>
          <w:highlight w:val="none"/>
        </w:rPr>
        <w:t>如因操作不当或外部不可抗拒的因素所造成的非质量问题导致产品故障，或超过保修期的，制造商应提供维修服务。</w:t>
      </w:r>
    </w:p>
    <w:p w14:paraId="6B75C520">
      <w:pPr>
        <w:pStyle w:val="73"/>
        <w:rPr>
          <w:highlight w:val="none"/>
        </w:rPr>
      </w:pPr>
      <w:r>
        <w:rPr>
          <w:highlight w:val="none"/>
        </w:rPr>
        <w:t>对客户反馈的信息应在24 h内做出响应。</w:t>
      </w:r>
    </w:p>
    <w:p w14:paraId="064DE49A">
      <w:pPr>
        <w:pStyle w:val="20"/>
        <w:ind w:firstLine="420"/>
        <w:rPr>
          <w:rFonts w:hint="default"/>
        </w:rPr>
      </w:pPr>
    </w:p>
    <w:p w14:paraId="75479473">
      <w:pPr>
        <w:pStyle w:val="107"/>
        <w:framePr w:wrap="around"/>
        <w:rPr>
          <w:rFonts w:hint="default"/>
        </w:rPr>
      </w:pPr>
      <w:r>
        <w:drawing>
          <wp:inline distT="0" distB="0" distL="0" distR="0">
            <wp:extent cx="1485900" cy="317500"/>
            <wp:effectExtent l="0" t="0" r="0" b="6350"/>
            <wp:docPr id="972273478" name="图片 2"/>
            <wp:cNvGraphicFramePr/>
            <a:graphic xmlns:a="http://schemas.openxmlformats.org/drawingml/2006/main">
              <a:graphicData uri="http://schemas.openxmlformats.org/drawingml/2006/picture">
                <pic:pic xmlns:pic="http://schemas.openxmlformats.org/drawingml/2006/picture">
                  <pic:nvPicPr>
                    <pic:cNvPr id="972273478" name="图片 2"/>
                    <pic:cNvPicPr/>
                  </pic:nvPicPr>
                  <pic:blipFill>
                    <a:blip r:embed="rId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14:paraId="5616FBEF">
      <w:pPr>
        <w:pStyle w:val="20"/>
        <w:ind w:firstLine="420"/>
        <w:rPr>
          <w:rFonts w:hint="default"/>
        </w:rPr>
      </w:pPr>
    </w:p>
    <w:sectPr>
      <w:pgSz w:w="11906" w:h="16838"/>
      <w:pgMar w:top="2409" w:right="1134" w:bottom="1134" w:left="1134" w:header="1417" w:footer="1134" w:gutter="283"/>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B6920">
    <w:pPr>
      <w:pStyle w:val="26"/>
      <w:jc w:val="left"/>
      <w:rPr>
        <w:rFonts w:hint="default"/>
      </w:rPr>
    </w:pPr>
    <w:r>
      <w:rPr>
        <w:rFonts w:hint="default"/>
      </w:rPr>
      <w:fldChar w:fldCharType="begin"/>
    </w:r>
    <w:r>
      <w:rPr>
        <w:rFonts w:hint="default"/>
      </w:rPr>
      <w:instrText xml:space="preserve"> </w:instrText>
    </w:r>
    <w:r>
      <w:instrText xml:space="preserve">PAGE  \* MERGEFORMAT</w:instrText>
    </w:r>
    <w:r>
      <w:rPr>
        <w:rFonts w:hint="default"/>
      </w:rPr>
      <w:instrText xml:space="preserve"> </w:instrText>
    </w:r>
    <w:r>
      <w:rPr>
        <w:rFonts w:hint="default"/>
      </w:rPr>
      <w:fldChar w:fldCharType="separate"/>
    </w:r>
    <w:r>
      <w:rPr>
        <w:rFonts w:hint="default"/>
      </w:rPr>
      <w:t>1</w:t>
    </w:r>
    <w:r>
      <w:rPr>
        <w:rFonts w:hint="default"/>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0D1EB">
    <w:pPr>
      <w:pStyle w:val="26"/>
      <w:rPr>
        <w:rFonts w:hint="default"/>
      </w:rPr>
    </w:pPr>
    <w:r>
      <w:rPr>
        <w:rFonts w:hint="default"/>
      </w:rPr>
      <w:fldChar w:fldCharType="begin"/>
    </w:r>
    <w:r>
      <w:rPr>
        <w:rFonts w:hint="default"/>
      </w:rPr>
      <w:instrText xml:space="preserve"> </w:instrText>
    </w:r>
    <w:r>
      <w:instrText xml:space="preserve">PAGE  \* MERGEFORMAT</w:instrText>
    </w:r>
    <w:r>
      <w:rPr>
        <w:rFonts w:hint="default"/>
      </w:rPr>
      <w:instrText xml:space="preserve"> </w:instrText>
    </w:r>
    <w:r>
      <w:rPr>
        <w:rFonts w:hint="default"/>
      </w:rPr>
      <w:fldChar w:fldCharType="separate"/>
    </w:r>
    <w:r>
      <w:rPr>
        <w:rFonts w:hint="default"/>
      </w:rPr>
      <w:t>1</w:t>
    </w:r>
    <w:r>
      <w:rPr>
        <w:rFonts w:hint="default"/>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C2609">
    <w:pPr>
      <w:pStyle w:val="27"/>
      <w:jc w:val="left"/>
      <w:rPr>
        <w:rFonts w:hint="default"/>
      </w:rPr>
    </w:pPr>
    <w:r>
      <w:t>T/FSS XXX－2025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7142C">
    <w:pPr>
      <w:pStyle w:val="27"/>
      <w:rPr>
        <w:rFonts w:hint="default"/>
      </w:rPr>
    </w:pPr>
    <w:r>
      <w:t>T/FSS XXX－2025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8DCBA"/>
    <w:multiLevelType w:val="multilevel"/>
    <w:tmpl w:val="9768DCBA"/>
    <w:lvl w:ilvl="0" w:tentative="0">
      <w:start w:val="1"/>
      <w:numFmt w:val="decimal"/>
      <w:pStyle w:val="114"/>
      <w:suff w:val="nothing"/>
      <w:lvlText w:val="[%1]  "/>
      <w:lvlJc w:val="left"/>
      <w:pPr>
        <w:ind w:left="0" w:firstLine="363"/>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98D0E21E"/>
    <w:multiLevelType w:val="multilevel"/>
    <w:tmpl w:val="98D0E21E"/>
    <w:lvl w:ilvl="0" w:tentative="0">
      <w:start w:val="1"/>
      <w:numFmt w:val="decimal"/>
      <w:pStyle w:val="100"/>
      <w:suff w:val="nothing"/>
      <w:lvlText w:val="示例%1："/>
      <w:lvlJc w:val="left"/>
      <w:pPr>
        <w:ind w:left="0" w:firstLine="363"/>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BC4E935A"/>
    <w:multiLevelType w:val="multilevel"/>
    <w:tmpl w:val="BC4E935A"/>
    <w:lvl w:ilvl="0" w:tentative="0">
      <w:start w:val="1"/>
      <w:numFmt w:val="none"/>
      <w:pStyle w:val="99"/>
      <w:suff w:val="nothing"/>
      <w:lvlText w:val="示例："/>
      <w:lvlJc w:val="left"/>
      <w:pPr>
        <w:ind w:left="0" w:firstLine="363"/>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BDCB2FA9"/>
    <w:multiLevelType w:val="multilevel"/>
    <w:tmpl w:val="BDCB2FA9"/>
    <w:lvl w:ilvl="0" w:tentative="0">
      <w:start w:val="1"/>
      <w:numFmt w:val="decimal"/>
      <w:pStyle w:val="109"/>
      <w:suff w:val="nothing"/>
      <w:lvlText w:val="图%1  "/>
      <w:lvlJc w:val="left"/>
      <w:pPr>
        <w:tabs>
          <w:tab w:val="left" w:pos="539"/>
        </w:tabs>
        <w:ind w:left="0" w:firstLine="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C2A75759"/>
    <w:multiLevelType w:val="multilevel"/>
    <w:tmpl w:val="C2A75759"/>
    <w:lvl w:ilvl="0" w:tentative="0">
      <w:start w:val="1"/>
      <w:numFmt w:val="upperLetter"/>
      <w:pStyle w:val="96"/>
      <w:lvlText w:val="%1"/>
      <w:lvlJc w:val="left"/>
      <w:pPr>
        <w:tabs>
          <w:tab w:val="left" w:pos="0"/>
        </w:tabs>
        <w:ind w:left="0" w:firstLine="0"/>
      </w:pPr>
      <w:rPr>
        <w:rFonts w:hint="default"/>
      </w:rPr>
    </w:lvl>
    <w:lvl w:ilvl="1" w:tentative="0">
      <w:start w:val="1"/>
      <w:numFmt w:val="decimal"/>
      <w:pStyle w:val="97"/>
      <w:suff w:val="nothing"/>
      <w:lvlText w:val="表%1.%2　"/>
      <w:lvlJc w:val="left"/>
      <w:pPr>
        <w:ind w:left="0" w:firstLine="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E629E883"/>
    <w:multiLevelType w:val="multilevel"/>
    <w:tmpl w:val="E629E883"/>
    <w:lvl w:ilvl="0" w:tentative="0">
      <w:start w:val="1"/>
      <w:numFmt w:val="lowerLetter"/>
      <w:pStyle w:val="55"/>
      <w:lvlText w:val="%1)"/>
      <w:lvlJc w:val="left"/>
      <w:pPr>
        <w:tabs>
          <w:tab w:val="left" w:pos="850"/>
        </w:tabs>
        <w:ind w:left="850" w:hanging="425"/>
      </w:pPr>
      <w:rPr>
        <w:rFonts w:hint="eastAsia" w:ascii="宋体" w:hAnsi="宋体" w:eastAsia="宋体" w:cs="Times New Roman"/>
        <w:sz w:val="20"/>
      </w:rPr>
    </w:lvl>
    <w:lvl w:ilvl="1" w:tentative="0">
      <w:start w:val="1"/>
      <w:numFmt w:val="decimal"/>
      <w:pStyle w:val="56"/>
      <w:lvlText w:val="%2)"/>
      <w:lvlJc w:val="left"/>
      <w:pPr>
        <w:tabs>
          <w:tab w:val="left" w:pos="1276"/>
        </w:tabs>
        <w:ind w:left="1276" w:hanging="426"/>
      </w:pPr>
      <w:rPr>
        <w:rFonts w:hint="eastAsia" w:ascii="宋体" w:hAnsi="Times New Roman" w:eastAsia="宋体" w:cs="Times New Roman"/>
        <w:color w:val="auto"/>
        <w:sz w:val="21"/>
      </w:rPr>
    </w:lvl>
    <w:lvl w:ilvl="2" w:tentative="0">
      <w:start w:val="1"/>
      <w:numFmt w:val="decimal"/>
      <w:lvlText w:val="%3."/>
      <w:lvlJc w:val="left"/>
      <w:pPr>
        <w:ind w:left="1276" w:hanging="425"/>
      </w:pPr>
      <w:rPr>
        <w:rFonts w:hint="default"/>
      </w:rPr>
    </w:lvl>
    <w:lvl w:ilvl="3" w:tentative="0">
      <w:start w:val="1"/>
      <w:numFmt w:val="lowerLetter"/>
      <w:lvlText w:val="%4."/>
      <w:lvlJc w:val="left"/>
      <w:pPr>
        <w:ind w:left="1559" w:hanging="283"/>
      </w:pPr>
      <w:rPr>
        <w:rFonts w:hint="eastAsia"/>
      </w:rPr>
    </w:lvl>
    <w:lvl w:ilvl="4" w:tentative="0">
      <w:start w:val="1"/>
      <w:numFmt w:val="decimal"/>
      <w:lvlText w:val="%5."/>
      <w:lvlJc w:val="left"/>
      <w:pPr>
        <w:ind w:left="1984" w:hanging="425"/>
      </w:pPr>
      <w:rPr>
        <w:rFonts w:hint="eastAsia"/>
      </w:rPr>
    </w:lvl>
    <w:lvl w:ilvl="5" w:tentative="0">
      <w:start w:val="1"/>
      <w:numFmt w:val="lowerLetter"/>
      <w:lvlText w:val="%6."/>
      <w:lvlJc w:val="left"/>
      <w:pPr>
        <w:ind w:left="2409" w:hanging="425"/>
      </w:pPr>
      <w:rPr>
        <w:rFonts w:hint="eastAsia"/>
      </w:rPr>
    </w:lvl>
    <w:lvl w:ilvl="6" w:tentative="0">
      <w:start w:val="1"/>
      <w:numFmt w:val="lowerRoman"/>
      <w:lvlText w:val="%7."/>
      <w:lvlJc w:val="left"/>
      <w:pPr>
        <w:ind w:left="2835" w:hanging="426"/>
      </w:pPr>
      <w:rPr>
        <w:rFonts w:hint="eastAsia"/>
      </w:rPr>
    </w:lvl>
    <w:lvl w:ilvl="7" w:tentative="0">
      <w:start w:val="1"/>
      <w:numFmt w:val="lowerLetter"/>
      <w:lvlText w:val="%8."/>
      <w:lvlJc w:val="left"/>
      <w:pPr>
        <w:ind w:left="3260" w:hanging="425"/>
      </w:pPr>
      <w:rPr>
        <w:rFonts w:hint="eastAsia"/>
      </w:rPr>
    </w:lvl>
    <w:lvl w:ilvl="8" w:tentative="0">
      <w:start w:val="1"/>
      <w:numFmt w:val="lowerRoman"/>
      <w:lvlText w:val="%9."/>
      <w:lvlJc w:val="left"/>
      <w:pPr>
        <w:ind w:left="3685" w:hanging="425"/>
      </w:pPr>
      <w:rPr>
        <w:rFonts w:hint="eastAsia"/>
      </w:rPr>
    </w:lvl>
  </w:abstractNum>
  <w:abstractNum w:abstractNumId="6">
    <w:nsid w:val="ED791748"/>
    <w:multiLevelType w:val="multilevel"/>
    <w:tmpl w:val="ED791748"/>
    <w:lvl w:ilvl="0" w:tentative="0">
      <w:start w:val="1"/>
      <w:numFmt w:val="none"/>
      <w:pStyle w:val="52"/>
      <w:lvlText w:val="%1——"/>
      <w:lvlJc w:val="left"/>
      <w:pPr>
        <w:tabs>
          <w:tab w:val="left" w:pos="850"/>
        </w:tabs>
        <w:ind w:left="850" w:hanging="425"/>
      </w:pPr>
      <w:rPr>
        <w:rFonts w:hint="eastAsia" w:ascii="Times New Roman" w:hAnsi="Times New Roman" w:eastAsia="宋体" w:cs="Times New Roman"/>
        <w:sz w:val="20"/>
      </w:rPr>
    </w:lvl>
    <w:lvl w:ilvl="1" w:tentative="0">
      <w:start w:val="1"/>
      <w:numFmt w:val="bullet"/>
      <w:pStyle w:val="53"/>
      <w:lvlText w:val=""/>
      <w:lvlJc w:val="left"/>
      <w:pPr>
        <w:tabs>
          <w:tab w:val="left" w:pos="850"/>
        </w:tabs>
        <w:ind w:left="1270" w:hanging="420"/>
      </w:pPr>
      <w:rPr>
        <w:rFonts w:hint="default" w:ascii="Symbol" w:hAnsi="Symbol" w:eastAsia="宋体" w:cs="Times New Roman"/>
        <w:color w:val="auto"/>
        <w:sz w:val="21"/>
      </w:rPr>
    </w:lvl>
    <w:lvl w:ilvl="2" w:tentative="0">
      <w:start w:val="1"/>
      <w:numFmt w:val="decimal"/>
      <w:lvlText w:val="%3."/>
      <w:lvlJc w:val="left"/>
      <w:pPr>
        <w:ind w:left="1276" w:hanging="425"/>
      </w:pPr>
      <w:rPr>
        <w:rFonts w:hint="default"/>
      </w:rPr>
    </w:lvl>
    <w:lvl w:ilvl="3" w:tentative="0">
      <w:start w:val="1"/>
      <w:numFmt w:val="lowerLetter"/>
      <w:lvlText w:val="%4."/>
      <w:lvlJc w:val="left"/>
      <w:pPr>
        <w:ind w:left="1559" w:hanging="283"/>
      </w:pPr>
      <w:rPr>
        <w:rFonts w:hint="eastAsia"/>
      </w:rPr>
    </w:lvl>
    <w:lvl w:ilvl="4" w:tentative="0">
      <w:start w:val="1"/>
      <w:numFmt w:val="decimal"/>
      <w:lvlText w:val="%5."/>
      <w:lvlJc w:val="left"/>
      <w:pPr>
        <w:ind w:left="1984" w:hanging="425"/>
      </w:pPr>
      <w:rPr>
        <w:rFonts w:hint="eastAsia"/>
      </w:rPr>
    </w:lvl>
    <w:lvl w:ilvl="5" w:tentative="0">
      <w:start w:val="1"/>
      <w:numFmt w:val="lowerLetter"/>
      <w:lvlText w:val="%6."/>
      <w:lvlJc w:val="left"/>
      <w:pPr>
        <w:ind w:left="2409" w:hanging="425"/>
      </w:pPr>
      <w:rPr>
        <w:rFonts w:hint="eastAsia"/>
      </w:rPr>
    </w:lvl>
    <w:lvl w:ilvl="6" w:tentative="0">
      <w:start w:val="1"/>
      <w:numFmt w:val="lowerRoman"/>
      <w:lvlText w:val="%7."/>
      <w:lvlJc w:val="left"/>
      <w:pPr>
        <w:ind w:left="2835" w:hanging="426"/>
      </w:pPr>
      <w:rPr>
        <w:rFonts w:hint="eastAsia"/>
      </w:rPr>
    </w:lvl>
    <w:lvl w:ilvl="7" w:tentative="0">
      <w:start w:val="1"/>
      <w:numFmt w:val="lowerLetter"/>
      <w:lvlText w:val="%8."/>
      <w:lvlJc w:val="left"/>
      <w:pPr>
        <w:ind w:left="3260" w:hanging="425"/>
      </w:pPr>
      <w:rPr>
        <w:rFonts w:hint="eastAsia"/>
      </w:rPr>
    </w:lvl>
    <w:lvl w:ilvl="8" w:tentative="0">
      <w:start w:val="1"/>
      <w:numFmt w:val="lowerRoman"/>
      <w:lvlText w:val="%9."/>
      <w:lvlJc w:val="left"/>
      <w:pPr>
        <w:ind w:left="3685" w:hanging="425"/>
      </w:pPr>
      <w:rPr>
        <w:rFonts w:hint="eastAsia"/>
      </w:rPr>
    </w:lvl>
  </w:abstractNum>
  <w:abstractNum w:abstractNumId="7">
    <w:nsid w:val="1FC91163"/>
    <w:multiLevelType w:val="multilevel"/>
    <w:tmpl w:val="1FC91163"/>
    <w:lvl w:ilvl="0" w:tentative="0">
      <w:start w:val="1"/>
      <w:numFmt w:val="decimal"/>
      <w:pStyle w:val="12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19"/>
      <w:suff w:val="nothing"/>
      <w:lvlText w:val="%1.%2.%3　"/>
      <w:lvlJc w:val="left"/>
      <w:pPr>
        <w:ind w:left="0" w:firstLine="0"/>
      </w:pPr>
      <w:rPr>
        <w:rFonts w:hint="eastAsia" w:ascii="黑体" w:hAnsi="Times New Roman" w:eastAsia="黑体"/>
        <w:b w:val="0"/>
        <w:i w:val="0"/>
        <w:sz w:val="21"/>
      </w:rPr>
    </w:lvl>
    <w:lvl w:ilvl="3" w:tentative="0">
      <w:start w:val="1"/>
      <w:numFmt w:val="decimal"/>
      <w:pStyle w:val="118"/>
      <w:suff w:val="nothing"/>
      <w:lvlText w:val="%1.%2.%3.%4　"/>
      <w:lvlJc w:val="left"/>
      <w:pPr>
        <w:ind w:left="0" w:firstLine="0"/>
      </w:pPr>
      <w:rPr>
        <w:rFonts w:hint="eastAsia" w:ascii="黑体" w:hAnsi="Times New Roman" w:eastAsia="黑体"/>
        <w:b w:val="0"/>
        <w:i w:val="0"/>
        <w:sz w:val="21"/>
      </w:rPr>
    </w:lvl>
    <w:lvl w:ilvl="4" w:tentative="0">
      <w:start w:val="1"/>
      <w:numFmt w:val="decimal"/>
      <w:pStyle w:val="117"/>
      <w:suff w:val="nothing"/>
      <w:lvlText w:val="%1.%2.%3.%4.%5　"/>
      <w:lvlJc w:val="left"/>
      <w:pPr>
        <w:ind w:left="0" w:firstLine="0"/>
      </w:pPr>
      <w:rPr>
        <w:rFonts w:hint="eastAsia" w:ascii="黑体" w:hAnsi="Times New Roman" w:eastAsia="黑体"/>
        <w:b w:val="0"/>
        <w:i w:val="0"/>
        <w:sz w:val="21"/>
      </w:rPr>
    </w:lvl>
    <w:lvl w:ilvl="5" w:tentative="0">
      <w:start w:val="1"/>
      <w:numFmt w:val="decimal"/>
      <w:pStyle w:val="12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EF7171B"/>
    <w:multiLevelType w:val="multilevel"/>
    <w:tmpl w:val="2EF7171B"/>
    <w:lvl w:ilvl="0" w:tentative="0">
      <w:start w:val="1"/>
      <w:numFmt w:val="upperLetter"/>
      <w:pStyle w:val="83"/>
      <w:suff w:val="nothing"/>
      <w:lvlText w:val="附录%1"/>
      <w:lvlJc w:val="left"/>
      <w:pPr>
        <w:ind w:left="0" w:firstLine="0"/>
      </w:pPr>
      <w:rPr>
        <w:rFonts w:hint="default"/>
        <w:spacing w:val="102"/>
      </w:rPr>
    </w:lvl>
    <w:lvl w:ilvl="1" w:tentative="0">
      <w:start w:val="1"/>
      <w:numFmt w:val="decimal"/>
      <w:pStyle w:val="84"/>
      <w:suff w:val="nothing"/>
      <w:lvlText w:val="%1.%2　"/>
      <w:lvlJc w:val="left"/>
      <w:pPr>
        <w:ind w:left="0" w:firstLine="0"/>
      </w:pPr>
      <w:rPr>
        <w:rFonts w:hint="default" w:ascii="黑体" w:hAnsi="黑体" w:eastAsia="黑体" w:cs="黑体"/>
        <w:sz w:val="20"/>
      </w:rPr>
    </w:lvl>
    <w:lvl w:ilvl="2" w:tentative="0">
      <w:start w:val="1"/>
      <w:numFmt w:val="decimal"/>
      <w:pStyle w:val="85"/>
      <w:suff w:val="nothing"/>
      <w:lvlText w:val="%1.%2.%3　"/>
      <w:lvlJc w:val="left"/>
      <w:pPr>
        <w:ind w:left="0" w:firstLine="0"/>
      </w:pPr>
      <w:rPr>
        <w:rFonts w:hint="default" w:ascii="黑体" w:hAnsi="黑体" w:eastAsia="黑体" w:cs="黑体"/>
        <w:sz w:val="20"/>
      </w:rPr>
    </w:lvl>
    <w:lvl w:ilvl="3" w:tentative="0">
      <w:start w:val="1"/>
      <w:numFmt w:val="decimal"/>
      <w:pStyle w:val="86"/>
      <w:suff w:val="nothing"/>
      <w:lvlText w:val="%1.%2.%3.%4　"/>
      <w:lvlJc w:val="left"/>
      <w:pPr>
        <w:ind w:left="0" w:firstLine="0"/>
      </w:pPr>
      <w:rPr>
        <w:rFonts w:hint="default" w:ascii="黑体" w:hAnsi="黑体" w:eastAsia="黑体" w:cs="黑体"/>
        <w:sz w:val="20"/>
      </w:rPr>
    </w:lvl>
    <w:lvl w:ilvl="4" w:tentative="0">
      <w:start w:val="1"/>
      <w:numFmt w:val="decimal"/>
      <w:pStyle w:val="87"/>
      <w:suff w:val="nothing"/>
      <w:lvlText w:val="%1.%2.%3.%4.%5　"/>
      <w:lvlJc w:val="left"/>
      <w:pPr>
        <w:ind w:left="0" w:firstLine="0"/>
      </w:pPr>
      <w:rPr>
        <w:rFonts w:hint="default" w:ascii="黑体" w:hAnsi="黑体" w:eastAsia="黑体" w:cs="黑体"/>
        <w:sz w:val="20"/>
      </w:rPr>
    </w:lvl>
    <w:lvl w:ilvl="5" w:tentative="0">
      <w:start w:val="1"/>
      <w:numFmt w:val="decimal"/>
      <w:pStyle w:val="88"/>
      <w:suff w:val="nothing"/>
      <w:lvlText w:val="%1.%2.%3.%4.%5.%6　"/>
      <w:lvlJc w:val="left"/>
      <w:pPr>
        <w:ind w:left="0" w:firstLine="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3208055E"/>
    <w:multiLevelType w:val="multilevel"/>
    <w:tmpl w:val="3208055E"/>
    <w:lvl w:ilvl="0" w:tentative="0">
      <w:start w:val="1"/>
      <w:numFmt w:val="none"/>
      <w:pStyle w:val="50"/>
      <w:suff w:val="nothing"/>
      <w:lvlText w:val="%1"/>
      <w:lvlJc w:val="left"/>
      <w:pPr>
        <w:ind w:left="425" w:hanging="425"/>
      </w:pPr>
      <w:rPr>
        <w:rFonts w:hint="default"/>
      </w:rPr>
    </w:lvl>
    <w:lvl w:ilvl="1" w:tentative="0">
      <w:start w:val="1"/>
      <w:numFmt w:val="decimal"/>
      <w:lvlText w:val="%1.%2"/>
      <w:lvlJc w:val="left"/>
      <w:pPr>
        <w:ind w:left="992" w:hanging="567"/>
      </w:pPr>
      <w:rPr>
        <w:rFonts w:hint="default"/>
        <w:sz w:val="20"/>
      </w:rPr>
    </w:lvl>
    <w:lvl w:ilvl="2" w:tentative="0">
      <w:start w:val="1"/>
      <w:numFmt w:val="decimal"/>
      <w:lvlText w:val="%1.%2.%3"/>
      <w:lvlJc w:val="left"/>
      <w:pPr>
        <w:ind w:left="1418" w:hanging="567"/>
      </w:pPr>
      <w:rPr>
        <w:rFonts w:hint="default"/>
        <w:sz w:val="20"/>
      </w:rPr>
    </w:lvl>
    <w:lvl w:ilvl="3" w:tentative="0">
      <w:start w:val="1"/>
      <w:numFmt w:val="decimal"/>
      <w:lvlText w:val="%1.%2.%3.%4"/>
      <w:lvlJc w:val="left"/>
      <w:pPr>
        <w:ind w:left="1984" w:hanging="708"/>
      </w:pPr>
      <w:rPr>
        <w:rFonts w:hint="default"/>
        <w:sz w:val="20"/>
      </w:rPr>
    </w:lvl>
    <w:lvl w:ilvl="4" w:tentative="0">
      <w:start w:val="1"/>
      <w:numFmt w:val="decimal"/>
      <w:lvlText w:val="%1.%2.%3.%4.%5"/>
      <w:lvlJc w:val="left"/>
      <w:pPr>
        <w:ind w:left="2551" w:hanging="850"/>
      </w:pPr>
      <w:rPr>
        <w:rFonts w:hint="default"/>
        <w:sz w:val="20"/>
      </w:rPr>
    </w:lvl>
    <w:lvl w:ilvl="5" w:tentative="0">
      <w:start w:val="1"/>
      <w:numFmt w:val="decimal"/>
      <w:lvlText w:val="%1.%2.%3.%4.%5.%6"/>
      <w:lvlJc w:val="left"/>
      <w:pPr>
        <w:ind w:left="3260" w:hanging="1134"/>
      </w:pPr>
      <w:rPr>
        <w:rFonts w:hint="default"/>
        <w:sz w:val="20"/>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44C50F90"/>
    <w:multiLevelType w:val="multilevel"/>
    <w:tmpl w:val="44C50F90"/>
    <w:lvl w:ilvl="0" w:tentative="0">
      <w:start w:val="1"/>
      <w:numFmt w:val="lowerLetter"/>
      <w:pStyle w:val="12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7"/>
      <w:lvlText w:val="%2)"/>
      <w:lvlJc w:val="left"/>
      <w:pPr>
        <w:tabs>
          <w:tab w:val="left" w:pos="1260"/>
        </w:tabs>
        <w:ind w:left="1259" w:hanging="419"/>
      </w:pPr>
      <w:rPr>
        <w:rFonts w:hint="eastAsia"/>
      </w:rPr>
    </w:lvl>
    <w:lvl w:ilvl="2" w:tentative="0">
      <w:start w:val="1"/>
      <w:numFmt w:val="decimal"/>
      <w:pStyle w:val="12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7022279"/>
    <w:multiLevelType w:val="multilevel"/>
    <w:tmpl w:val="47022279"/>
    <w:lvl w:ilvl="0" w:tentative="0">
      <w:start w:val="1"/>
      <w:numFmt w:val="decimal"/>
      <w:pStyle w:val="102"/>
      <w:suff w:val="nothing"/>
      <w:lvlText w:val="注%1："/>
      <w:lvlJc w:val="left"/>
      <w:pPr>
        <w:ind w:left="811" w:hanging="448"/>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53D04554"/>
    <w:multiLevelType w:val="multilevel"/>
    <w:tmpl w:val="53D04554"/>
    <w:lvl w:ilvl="0" w:tentative="0">
      <w:start w:val="1"/>
      <w:numFmt w:val="none"/>
      <w:pStyle w:val="101"/>
      <w:suff w:val="nothing"/>
      <w:lvlText w:val="注："/>
      <w:lvlJc w:val="left"/>
      <w:pPr>
        <w:ind w:left="737" w:hanging="374"/>
      </w:pPr>
      <w:rPr>
        <w:rFonts w:hint="eastAsia" w:ascii="黑体" w:hAnsi="黑体" w:eastAsia="黑体"/>
        <w:sz w:val="18"/>
        <w:vertAlign w:val="baseline"/>
      </w:rPr>
    </w:lvl>
    <w:lvl w:ilvl="1" w:tentative="0">
      <w:start w:val="1"/>
      <w:numFmt w:val="decimalZero"/>
      <w:pStyle w:val="2"/>
      <w:isLgl/>
      <w:lvlText w:val="节 %1.%2"/>
      <w:lvlJc w:val="left"/>
      <w:pPr>
        <w:ind w:left="0" w:firstLine="0"/>
      </w:pPr>
      <w:rPr>
        <w:rFonts w:hint="eastAsia"/>
      </w:rPr>
    </w:lvl>
    <w:lvl w:ilvl="2" w:tentative="0">
      <w:start w:val="1"/>
      <w:numFmt w:val="lowerLetter"/>
      <w:pStyle w:val="3"/>
      <w:lvlText w:val="(%3)"/>
      <w:lvlJc w:val="left"/>
      <w:pPr>
        <w:ind w:left="720" w:hanging="432"/>
      </w:pPr>
      <w:rPr>
        <w:rFonts w:hint="eastAsia"/>
      </w:rPr>
    </w:lvl>
    <w:lvl w:ilvl="3" w:tentative="0">
      <w:start w:val="1"/>
      <w:numFmt w:val="lowerRoman"/>
      <w:pStyle w:val="4"/>
      <w:lvlText w:val="(%4)"/>
      <w:lvlJc w:val="right"/>
      <w:pPr>
        <w:ind w:left="864" w:hanging="144"/>
      </w:pPr>
      <w:rPr>
        <w:rFonts w:hint="eastAsia"/>
      </w:rPr>
    </w:lvl>
    <w:lvl w:ilvl="4" w:tentative="0">
      <w:start w:val="1"/>
      <w:numFmt w:val="decimal"/>
      <w:pStyle w:val="5"/>
      <w:lvlText w:val="%5)"/>
      <w:lvlJc w:val="left"/>
      <w:pPr>
        <w:ind w:left="1008" w:hanging="432"/>
      </w:pPr>
      <w:rPr>
        <w:rFonts w:hint="eastAsia"/>
      </w:rPr>
    </w:lvl>
    <w:lvl w:ilvl="5" w:tentative="0">
      <w:start w:val="1"/>
      <w:numFmt w:val="lowerLetter"/>
      <w:pStyle w:val="6"/>
      <w:lvlText w:val="%6)"/>
      <w:lvlJc w:val="left"/>
      <w:pPr>
        <w:ind w:left="1152" w:hanging="432"/>
      </w:pPr>
      <w:rPr>
        <w:rFonts w:hint="eastAsia"/>
      </w:rPr>
    </w:lvl>
    <w:lvl w:ilvl="6" w:tentative="0">
      <w:start w:val="1"/>
      <w:numFmt w:val="lowerRoman"/>
      <w:pStyle w:val="7"/>
      <w:lvlText w:val="%7)"/>
      <w:lvlJc w:val="right"/>
      <w:pPr>
        <w:ind w:left="1296" w:hanging="288"/>
      </w:pPr>
      <w:rPr>
        <w:rFonts w:hint="eastAsia"/>
      </w:rPr>
    </w:lvl>
    <w:lvl w:ilvl="7" w:tentative="0">
      <w:start w:val="1"/>
      <w:numFmt w:val="lowerLetter"/>
      <w:pStyle w:val="8"/>
      <w:lvlText w:val="%8."/>
      <w:lvlJc w:val="left"/>
      <w:pPr>
        <w:ind w:left="1440" w:hanging="432"/>
      </w:pPr>
      <w:rPr>
        <w:rFonts w:hint="eastAsia"/>
      </w:rPr>
    </w:lvl>
    <w:lvl w:ilvl="8" w:tentative="0">
      <w:start w:val="1"/>
      <w:numFmt w:val="lowerRoman"/>
      <w:pStyle w:val="9"/>
      <w:lvlText w:val="%9."/>
      <w:lvlJc w:val="right"/>
      <w:pPr>
        <w:ind w:left="1584" w:hanging="144"/>
      </w:pPr>
      <w:rPr>
        <w:rFonts w:hint="eastAsia"/>
      </w:rPr>
    </w:lvl>
  </w:abstractNum>
  <w:abstractNum w:abstractNumId="13">
    <w:nsid w:val="5A60DE5D"/>
    <w:multiLevelType w:val="multilevel"/>
    <w:tmpl w:val="5A60DE5D"/>
    <w:lvl w:ilvl="0" w:tentative="0">
      <w:start w:val="1"/>
      <w:numFmt w:val="lowerLetter"/>
      <w:pStyle w:val="103"/>
      <w:lvlText w:val="%1"/>
      <w:lvlJc w:val="left"/>
      <w:pPr>
        <w:tabs>
          <w:tab w:val="left" w:pos="539"/>
        </w:tabs>
        <w:ind w:left="539" w:hanging="119"/>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5E5595D9"/>
    <w:multiLevelType w:val="multilevel"/>
    <w:tmpl w:val="5E5595D9"/>
    <w:lvl w:ilvl="0" w:tentative="0">
      <w:start w:val="1"/>
      <w:numFmt w:val="decimal"/>
      <w:pStyle w:val="14"/>
      <w:lvlText w:val="%1)"/>
      <w:lvlJc w:val="left"/>
      <w:pPr>
        <w:tabs>
          <w:tab w:val="left" w:pos="0"/>
        </w:tabs>
        <w:ind w:left="720" w:hanging="357"/>
      </w:pPr>
      <w:rPr>
        <w:rFonts w:hint="eastAsia" w:ascii="宋体" w:hAnsi="宋体" w:eastAsia="宋体" w:cs="宋体"/>
        <w:sz w:val="15"/>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5F871B85"/>
    <w:multiLevelType w:val="multilevel"/>
    <w:tmpl w:val="5F871B85"/>
    <w:lvl w:ilvl="0" w:tentative="0">
      <w:start w:val="1"/>
      <w:numFmt w:val="upperLetter"/>
      <w:pStyle w:val="94"/>
      <w:lvlText w:val="%1"/>
      <w:lvlJc w:val="left"/>
      <w:pPr>
        <w:tabs>
          <w:tab w:val="left" w:pos="0"/>
        </w:tabs>
        <w:ind w:left="0" w:firstLine="0"/>
      </w:pPr>
      <w:rPr>
        <w:rFonts w:hint="default"/>
      </w:rPr>
    </w:lvl>
    <w:lvl w:ilvl="1" w:tentative="0">
      <w:start w:val="1"/>
      <w:numFmt w:val="decimal"/>
      <w:pStyle w:val="95"/>
      <w:suff w:val="nothing"/>
      <w:lvlText w:val="图%1.%2　"/>
      <w:lvlJc w:val="left"/>
      <w:pPr>
        <w:ind w:left="0" w:firstLine="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6">
    <w:nsid w:val="62154CE0"/>
    <w:multiLevelType w:val="multilevel"/>
    <w:tmpl w:val="62154CE0"/>
    <w:lvl w:ilvl="0" w:tentative="0">
      <w:start w:val="1"/>
      <w:numFmt w:val="decimal"/>
      <w:pStyle w:val="108"/>
      <w:suff w:val="nothing"/>
      <w:lvlText w:val="表%1  "/>
      <w:lvlJc w:val="left"/>
      <w:pPr>
        <w:tabs>
          <w:tab w:val="left" w:pos="539"/>
        </w:tabs>
        <w:ind w:left="0" w:firstLine="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7">
    <w:nsid w:val="790E7C5B"/>
    <w:multiLevelType w:val="multilevel"/>
    <w:tmpl w:val="790E7C5B"/>
    <w:lvl w:ilvl="0" w:tentative="0">
      <w:start w:val="1"/>
      <w:numFmt w:val="decimal"/>
      <w:pStyle w:val="67"/>
      <w:suff w:val="nothing"/>
      <w:lvlText w:val="%1　"/>
      <w:lvlJc w:val="left"/>
      <w:pPr>
        <w:ind w:left="0" w:firstLine="0"/>
      </w:pPr>
      <w:rPr>
        <w:rFonts w:hint="eastAsia" w:ascii="黑体" w:hAnsi="黑体" w:eastAsia="黑体"/>
        <w:sz w:val="20"/>
      </w:rPr>
    </w:lvl>
    <w:lvl w:ilvl="1" w:tentative="0">
      <w:start w:val="1"/>
      <w:numFmt w:val="decimal"/>
      <w:pStyle w:val="68"/>
      <w:suff w:val="nothing"/>
      <w:lvlText w:val="%1.%2　"/>
      <w:lvlJc w:val="left"/>
      <w:pPr>
        <w:ind w:left="0" w:firstLine="0"/>
      </w:pPr>
      <w:rPr>
        <w:rFonts w:hint="eastAsia" w:ascii="黑体" w:hAnsi="黑体" w:eastAsia="黑体"/>
        <w:sz w:val="20"/>
      </w:rPr>
    </w:lvl>
    <w:lvl w:ilvl="2" w:tentative="0">
      <w:start w:val="1"/>
      <w:numFmt w:val="decimal"/>
      <w:pStyle w:val="69"/>
      <w:suff w:val="nothing"/>
      <w:lvlText w:val="%1.%2.%3　"/>
      <w:lvlJc w:val="left"/>
      <w:pPr>
        <w:ind w:left="0" w:firstLine="0"/>
      </w:pPr>
      <w:rPr>
        <w:rFonts w:hint="eastAsia" w:ascii="黑体" w:hAnsi="黑体" w:eastAsia="黑体"/>
        <w:sz w:val="20"/>
      </w:rPr>
    </w:lvl>
    <w:lvl w:ilvl="3" w:tentative="0">
      <w:start w:val="1"/>
      <w:numFmt w:val="decimal"/>
      <w:pStyle w:val="70"/>
      <w:suff w:val="nothing"/>
      <w:lvlText w:val="%1.%2.%3.%4　"/>
      <w:lvlJc w:val="left"/>
      <w:pPr>
        <w:ind w:left="0" w:firstLine="0"/>
      </w:pPr>
      <w:rPr>
        <w:rFonts w:hint="eastAsia" w:ascii="黑体" w:hAnsi="黑体" w:eastAsia="黑体"/>
        <w:sz w:val="20"/>
      </w:rPr>
    </w:lvl>
    <w:lvl w:ilvl="4" w:tentative="0">
      <w:start w:val="1"/>
      <w:numFmt w:val="decimal"/>
      <w:pStyle w:val="71"/>
      <w:suff w:val="nothing"/>
      <w:lvlText w:val="%1.%2.%3.%4.%5　"/>
      <w:lvlJc w:val="left"/>
      <w:pPr>
        <w:ind w:left="0" w:firstLine="0"/>
      </w:pPr>
      <w:rPr>
        <w:rFonts w:hint="eastAsia" w:ascii="黑体" w:hAnsi="黑体" w:eastAsia="黑体"/>
        <w:sz w:val="20"/>
      </w:rPr>
    </w:lvl>
    <w:lvl w:ilvl="5" w:tentative="0">
      <w:start w:val="1"/>
      <w:numFmt w:val="decimal"/>
      <w:pStyle w:val="72"/>
      <w:suff w:val="nothing"/>
      <w:lvlText w:val="%1.%2.%3.%4.%5.%6　"/>
      <w:lvlJc w:val="left"/>
      <w:pPr>
        <w:ind w:left="0" w:firstLine="0"/>
      </w:pPr>
      <w:rPr>
        <w:rFonts w:hint="eastAsia" w:ascii="黑体" w:hAnsi="黑体" w:eastAsia="黑体"/>
        <w:sz w:val="2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2"/>
  </w:num>
  <w:num w:numId="2">
    <w:abstractNumId w:val="14"/>
  </w:num>
  <w:num w:numId="3">
    <w:abstractNumId w:val="9"/>
  </w:num>
  <w:num w:numId="4">
    <w:abstractNumId w:val="6"/>
  </w:num>
  <w:num w:numId="5">
    <w:abstractNumId w:val="5"/>
  </w:num>
  <w:num w:numId="6">
    <w:abstractNumId w:val="17"/>
  </w:num>
  <w:num w:numId="7">
    <w:abstractNumId w:val="8"/>
  </w:num>
  <w:num w:numId="8">
    <w:abstractNumId w:val="15"/>
  </w:num>
  <w:num w:numId="9">
    <w:abstractNumId w:val="4"/>
  </w:num>
  <w:num w:numId="10">
    <w:abstractNumId w:val="2"/>
  </w:num>
  <w:num w:numId="11">
    <w:abstractNumId w:val="1"/>
  </w:num>
  <w:num w:numId="12">
    <w:abstractNumId w:val="11"/>
  </w:num>
  <w:num w:numId="13">
    <w:abstractNumId w:val="13"/>
  </w:num>
  <w:num w:numId="14">
    <w:abstractNumId w:val="16"/>
  </w:num>
  <w:num w:numId="15">
    <w:abstractNumId w:val="3"/>
  </w:num>
  <w:num w:numId="16">
    <w:abstractNumId w:val="0"/>
  </w:num>
  <w:num w:numId="17">
    <w:abstractNumId w:val="7"/>
  </w:num>
  <w:num w:numId="18">
    <w:abstractNumId w:val="1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B1"/>
    <w:rsid w:val="00056ECC"/>
    <w:rsid w:val="00124D46"/>
    <w:rsid w:val="00146EA9"/>
    <w:rsid w:val="0018081A"/>
    <w:rsid w:val="001A4429"/>
    <w:rsid w:val="001C142E"/>
    <w:rsid w:val="00315B61"/>
    <w:rsid w:val="003933FC"/>
    <w:rsid w:val="003F38AD"/>
    <w:rsid w:val="004147D4"/>
    <w:rsid w:val="004359B1"/>
    <w:rsid w:val="00545B0C"/>
    <w:rsid w:val="005724A8"/>
    <w:rsid w:val="007A51BF"/>
    <w:rsid w:val="007F3A5A"/>
    <w:rsid w:val="00872E2D"/>
    <w:rsid w:val="009D37F1"/>
    <w:rsid w:val="00BB7BFE"/>
    <w:rsid w:val="00C41C06"/>
    <w:rsid w:val="00E652BE"/>
    <w:rsid w:val="00ED6486"/>
    <w:rsid w:val="00FB1D41"/>
    <w:rsid w:val="23E81B15"/>
    <w:rsid w:val="26574DFE"/>
    <w:rsid w:val="32EA1B04"/>
    <w:rsid w:val="3630507C"/>
    <w:rsid w:val="3FED644C"/>
    <w:rsid w:val="46677DCD"/>
    <w:rsid w:val="793D10B0"/>
    <w:rsid w:val="7DFB1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4">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6">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8">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7">
    <w:name w:val="Default Paragraph Font"/>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0">
    <w:name w:val="Document Map"/>
    <w:basedOn w:val="1"/>
    <w:link w:val="126"/>
    <w:qFormat/>
    <w:uiPriority w:val="0"/>
    <w:pPr>
      <w:shd w:val="clear" w:color="auto" w:fill="000080"/>
    </w:pPr>
    <w:rPr>
      <w:rFonts w:hint="default" w:ascii="Times New Roman" w:cs="Times New Roman"/>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style>
  <w:style w:type="paragraph" w:styleId="14">
    <w:name w:val="footnote text"/>
    <w:basedOn w:val="1"/>
    <w:qFormat/>
    <w:uiPriority w:val="0"/>
    <w:pPr>
      <w:widowControl/>
      <w:numPr>
        <w:ilvl w:val="0"/>
        <w:numId w:val="2"/>
      </w:numPr>
      <w:autoSpaceDE w:val="0"/>
      <w:autoSpaceDN w:val="0"/>
      <w:ind w:left="840" w:leftChars="200" w:hanging="420" w:hangingChars="200"/>
    </w:pPr>
    <w:rPr>
      <w:rFonts w:hAnsi="宋体"/>
      <w:sz w:val="15"/>
    </w:rPr>
  </w:style>
  <w:style w:type="paragraph" w:styleId="15">
    <w:name w:val="toc 2"/>
    <w:basedOn w:val="1"/>
    <w:next w:val="1"/>
    <w:autoRedefine/>
    <w:qFormat/>
    <w:uiPriority w:val="39"/>
    <w:pPr>
      <w:ind w:left="420" w:leftChars="200"/>
    </w:p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footnote reference"/>
    <w:basedOn w:val="17"/>
    <w:qFormat/>
    <w:uiPriority w:val="0"/>
    <w:rPr>
      <w:rFonts w:hAnsi="宋体" w:cs="宋体"/>
      <w:sz w:val="18"/>
      <w:vertAlign w:val="superscript"/>
    </w:rPr>
  </w:style>
  <w:style w:type="paragraph" w:customStyle="1" w:styleId="20">
    <w:name w:val="标准文件_段"/>
    <w:qFormat/>
    <w:uiPriority w:val="0"/>
    <w:pPr>
      <w:ind w:firstLine="198" w:firstLineChars="200"/>
      <w:jc w:val="both"/>
    </w:pPr>
    <w:rPr>
      <w:rFonts w:hint="eastAsia" w:ascii="宋体" w:hAnsi="Times New Roman" w:eastAsia="宋体" w:cs="宋体"/>
      <w:sz w:val="21"/>
      <w:lang w:val="en-US" w:eastAsia="zh-CN" w:bidi="ar-SA"/>
    </w:rPr>
  </w:style>
  <w:style w:type="paragraph" w:customStyle="1" w:styleId="21">
    <w:name w:val="标准标志"/>
    <w:next w:val="1"/>
    <w:qFormat/>
    <w:uiPriority w:val="0"/>
    <w:pPr>
      <w:framePr w:w="2546" w:h="1134" w:hRule="exact" w:hSpace="181" w:wrap="around" w:vAnchor="margin" w:hAnchor="margin" w:x="6521" w:y="421" w:anchorLock="1"/>
      <w:shd w:val="clear" w:color="auto" w:fill="FFFFFF"/>
      <w:spacing w:line="0" w:lineRule="atLeast"/>
      <w:jc w:val="right"/>
    </w:pPr>
    <w:rPr>
      <w:rFonts w:hint="eastAsia" w:ascii="Times New Roman" w:hAnsi="Times New Roman" w:eastAsia="宋体" w:cs="Times New Roman"/>
      <w:b/>
      <w:w w:val="170"/>
      <w:sz w:val="96"/>
      <w:lang w:val="en-US" w:eastAsia="zh-CN" w:bidi="ar-SA"/>
    </w:rPr>
  </w:style>
  <w:style w:type="paragraph" w:customStyle="1" w:styleId="22">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lang w:val="en-US" w:eastAsia="zh-CN" w:bidi="ar-SA"/>
    </w:rPr>
  </w:style>
  <w:style w:type="paragraph" w:customStyle="1" w:styleId="23">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lang w:val="en-US" w:eastAsia="zh-CN" w:bidi="ar-SA"/>
    </w:rPr>
  </w:style>
  <w:style w:type="paragraph" w:customStyle="1" w:styleId="24">
    <w:name w:val="标准称谓2"/>
    <w:next w:val="1"/>
    <w:qFormat/>
    <w:uiPriority w:val="0"/>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hint="eastAsia" w:ascii="Times New Roman" w:hAnsi="Times New Roman" w:eastAsia="黑体" w:cs="Times New Roman"/>
      <w:spacing w:val="-39"/>
      <w:kern w:val="2"/>
      <w:sz w:val="72"/>
      <w:szCs w:val="72"/>
      <w:lang w:val="en-US" w:eastAsia="zh-CN" w:bidi="ar-SA"/>
    </w:rPr>
  </w:style>
  <w:style w:type="paragraph" w:customStyle="1" w:styleId="25">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lang w:val="en-US" w:eastAsia="zh-CN" w:bidi="ar-SA"/>
    </w:rPr>
  </w:style>
  <w:style w:type="paragraph" w:customStyle="1" w:styleId="26">
    <w:name w:val="标准书脚_奇数页"/>
    <w:qFormat/>
    <w:uiPriority w:val="0"/>
    <w:pPr>
      <w:ind w:right="227"/>
      <w:jc w:val="right"/>
    </w:pPr>
    <w:rPr>
      <w:rFonts w:hint="eastAsia" w:ascii="宋体" w:hAnsi="Times New Roman" w:eastAsia="宋体" w:cs="宋体"/>
      <w:sz w:val="18"/>
      <w:lang w:val="en-US" w:eastAsia="zh-CN" w:bidi="ar-SA"/>
    </w:rPr>
  </w:style>
  <w:style w:type="paragraph" w:customStyle="1" w:styleId="27">
    <w:name w:val="标准书眉_奇数页"/>
    <w:next w:val="1"/>
    <w:qFormat/>
    <w:uiPriority w:val="0"/>
    <w:pPr>
      <w:tabs>
        <w:tab w:val="center" w:pos="4153"/>
        <w:tab w:val="right" w:pos="8306"/>
      </w:tabs>
      <w:spacing w:after="120"/>
      <w:jc w:val="right"/>
    </w:pPr>
    <w:rPr>
      <w:rFonts w:hint="eastAsia" w:ascii="黑体" w:hAnsi="Times New Roman" w:eastAsia="黑体" w:cs="黑体"/>
      <w:sz w:val="21"/>
      <w:lang w:val="en-US" w:eastAsia="zh-CN" w:bidi="ar-SA"/>
    </w:rPr>
  </w:style>
  <w:style w:type="paragraph" w:customStyle="1" w:styleId="28">
    <w:name w:val="标准书眉_偶数页"/>
    <w:next w:val="1"/>
    <w:qFormat/>
    <w:uiPriority w:val="0"/>
    <w:pPr>
      <w:spacing w:after="120"/>
    </w:pPr>
    <w:rPr>
      <w:rFonts w:hint="eastAsia" w:ascii="黑体" w:hAnsi="Times New Roman" w:eastAsia="黑体" w:cs="黑体"/>
      <w:sz w:val="21"/>
      <w:lang w:val="en-US" w:eastAsia="zh-CN" w:bidi="ar-SA"/>
    </w:rPr>
  </w:style>
  <w:style w:type="paragraph" w:customStyle="1" w:styleId="29">
    <w:name w:val="标准文件_参考文献标题"/>
    <w:basedOn w:val="1"/>
    <w:next w:val="1"/>
    <w:qFormat/>
    <w:uiPriority w:val="0"/>
    <w:pPr>
      <w:widowControl/>
      <w:spacing w:before="126" w:beforeLines="40" w:after="157" w:afterLines="50"/>
      <w:jc w:val="center"/>
      <w:outlineLvl w:val="0"/>
    </w:pPr>
    <w:rPr>
      <w:rFonts w:ascii="黑体" w:eastAsia="黑体" w:cs="黑体"/>
      <w:kern w:val="0"/>
    </w:rPr>
  </w:style>
  <w:style w:type="paragraph" w:customStyle="1" w:styleId="30">
    <w:name w:val="封面标准顶部线"/>
    <w:qFormat/>
    <w:uiPriority w:val="0"/>
    <w:pPr>
      <w:framePr w:w="9672" w:hSpace="181" w:wrap="around" w:vAnchor="page" w:hAnchor="page" w:x="1389" w:y="4241"/>
      <w:spacing w:line="14" w:lineRule="atLeast"/>
    </w:pPr>
    <w:rPr>
      <w:rFonts w:hint="eastAsia" w:ascii="宋体" w:hAnsi="Times New Roman" w:eastAsia="宋体" w:cs="Times New Roman"/>
      <w:sz w:val="21"/>
      <w:lang w:val="en-US" w:eastAsia="zh-CN" w:bidi="ar-SA"/>
    </w:rPr>
  </w:style>
  <w:style w:type="paragraph" w:customStyle="1" w:styleId="31">
    <w:name w:val="发布部门"/>
    <w:next w:val="20"/>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lang w:val="en-US" w:eastAsia="zh-CN" w:bidi="ar-SA"/>
    </w:rPr>
  </w:style>
  <w:style w:type="paragraph" w:customStyle="1" w:styleId="32">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lang w:val="en-US" w:eastAsia="zh-CN" w:bidi="ar-SA"/>
    </w:rPr>
  </w:style>
  <w:style w:type="paragraph" w:customStyle="1" w:styleId="33">
    <w:name w:val="实施日期"/>
    <w:basedOn w:val="32"/>
    <w:qFormat/>
    <w:uiPriority w:val="0"/>
    <w:pPr>
      <w:framePr w:hSpace="0" w:wrap="around" w:vAnchor="page" w:hAnchor="text" w:x="7089" w:y="14176"/>
      <w:jc w:val="right"/>
    </w:pPr>
  </w:style>
  <w:style w:type="paragraph" w:customStyle="1" w:styleId="34">
    <w:name w:val="封面日期"/>
    <w:qFormat/>
    <w:uiPriority w:val="0"/>
    <w:pPr>
      <w:framePr w:w="9672" w:vSpace="181" w:wrap="around" w:vAnchor="page" w:hAnchor="page" w:x="1418" w:y="14174" w:anchorLock="1"/>
      <w:spacing w:line="360" w:lineRule="exact"/>
    </w:pPr>
    <w:rPr>
      <w:rFonts w:hint="eastAsia" w:ascii="黑体" w:hAnsi="Times New Roman" w:eastAsia="黑体" w:cs="Times New Roman"/>
      <w:sz w:val="28"/>
      <w:lang w:val="en-US" w:eastAsia="zh-CN" w:bidi="ar-SA"/>
    </w:rPr>
  </w:style>
  <w:style w:type="paragraph" w:customStyle="1" w:styleId="35">
    <w:name w:val="封面标准代替信息"/>
    <w:qFormat/>
    <w:uiPriority w:val="0"/>
    <w:pPr>
      <w:framePr w:w="9354" w:h="624" w:hRule="exact" w:hSpace="181" w:vSpace="181" w:wrap="around" w:vAnchor="page" w:hAnchor="page" w:x="1418" w:y="3283"/>
      <w:spacing w:before="57" w:line="280" w:lineRule="exact"/>
      <w:jc w:val="right"/>
    </w:pPr>
    <w:rPr>
      <w:rFonts w:hint="eastAsia" w:ascii="黑体" w:hAnsi="Times New Roman" w:eastAsia="黑体" w:cs="Times New Roman"/>
      <w:sz w:val="21"/>
      <w:lang w:val="en-US" w:eastAsia="zh-CN" w:bidi="ar-SA"/>
    </w:rPr>
  </w:style>
  <w:style w:type="paragraph" w:customStyle="1" w:styleId="36">
    <w:name w:val="封面标准号2"/>
    <w:qFormat/>
    <w:uiPriority w:val="0"/>
    <w:pPr>
      <w:framePr w:w="9354" w:h="624" w:hRule="exact" w:hSpace="181" w:vSpace="181" w:wrap="around" w:vAnchor="page" w:hAnchor="page" w:x="1418" w:y="3283"/>
      <w:spacing w:line="280" w:lineRule="exact"/>
      <w:jc w:val="right"/>
    </w:pPr>
    <w:rPr>
      <w:rFonts w:hint="eastAsia" w:ascii="黑体" w:hAnsi="Times New Roman" w:eastAsia="黑体" w:cs="Times New Roman"/>
      <w:sz w:val="28"/>
      <w:lang w:val="en-US" w:eastAsia="zh-CN" w:bidi="ar-SA"/>
    </w:rPr>
  </w:style>
  <w:style w:type="paragraph" w:customStyle="1" w:styleId="37">
    <w:name w:val="封面标准名称"/>
    <w:qFormat/>
    <w:uiPriority w:val="0"/>
    <w:pPr>
      <w:framePr w:w="9638" w:h="6973" w:hRule="exact" w:wrap="around" w:vAnchor="page" w:hAnchor="page" w:x="1418" w:y="6407"/>
      <w:spacing w:line="700" w:lineRule="exact"/>
      <w:jc w:val="center"/>
    </w:pPr>
    <w:rPr>
      <w:rFonts w:hint="eastAsia" w:ascii="黑体" w:hAnsi="Times New Roman" w:eastAsia="黑体" w:cs="Times New Roman"/>
      <w:sz w:val="52"/>
      <w:lang w:val="en-US" w:eastAsia="zh-CN" w:bidi="ar-SA"/>
    </w:rPr>
  </w:style>
  <w:style w:type="paragraph" w:customStyle="1" w:styleId="38">
    <w:name w:val="封面标准英文名称"/>
    <w:basedOn w:val="37"/>
    <w:qFormat/>
    <w:uiPriority w:val="0"/>
    <w:pPr>
      <w:framePr w:wrap="around"/>
      <w:widowControl w:val="0"/>
      <w:spacing w:before="410" w:line="360" w:lineRule="exact"/>
      <w:textAlignment w:val="bottom"/>
    </w:pPr>
    <w:rPr>
      <w:rFonts w:ascii="Times New Roman"/>
      <w:sz w:val="28"/>
    </w:rPr>
  </w:style>
  <w:style w:type="paragraph" w:customStyle="1" w:styleId="39">
    <w:name w:val="封面一致性程度标识"/>
    <w:basedOn w:val="38"/>
    <w:qFormat/>
    <w:uiPriority w:val="0"/>
    <w:pPr>
      <w:framePr w:wrap="around"/>
      <w:spacing w:before="760"/>
    </w:pPr>
  </w:style>
  <w:style w:type="paragraph" w:customStyle="1" w:styleId="40">
    <w:name w:val="封面标准文稿类别"/>
    <w:basedOn w:val="39"/>
    <w:qFormat/>
    <w:uiPriority w:val="0"/>
    <w:pPr>
      <w:framePr w:wrap="around"/>
      <w:spacing w:before="440" w:after="160"/>
    </w:pPr>
    <w:rPr>
      <w:rFonts w:ascii="黑体" w:hAnsi="黑体" w:cs="宋体"/>
      <w:sz w:val="24"/>
    </w:rPr>
  </w:style>
  <w:style w:type="paragraph" w:customStyle="1" w:styleId="41">
    <w:name w:val="封面标准文稿编辑信息"/>
    <w:basedOn w:val="40"/>
    <w:qFormat/>
    <w:uiPriority w:val="0"/>
    <w:pPr>
      <w:framePr w:wrap="around"/>
      <w:spacing w:before="180" w:after="0" w:line="240" w:lineRule="atLeast"/>
    </w:pPr>
    <w:rPr>
      <w:sz w:val="21"/>
    </w:rPr>
  </w:style>
  <w:style w:type="paragraph" w:customStyle="1" w:styleId="42">
    <w:name w:val="封面标准文稿附件"/>
    <w:basedOn w:val="40"/>
    <w:qFormat/>
    <w:uiPriority w:val="0"/>
    <w:pPr>
      <w:framePr w:wrap="around"/>
      <w:spacing w:before="937" w:beforeLines="300" w:after="0" w:afterLines="30" w:line="240" w:lineRule="auto"/>
    </w:pPr>
    <w:rPr>
      <w:rFonts w:ascii="Times New Roman" w:hAnsi="Times New Roman" w:cs="Times New Roman"/>
      <w:b/>
      <w:sz w:val="21"/>
    </w:rPr>
  </w:style>
  <w:style w:type="paragraph" w:customStyle="1" w:styleId="43">
    <w:name w:val="其他发布部门"/>
    <w:basedOn w:val="31"/>
    <w:qFormat/>
    <w:uiPriority w:val="0"/>
    <w:pPr>
      <w:framePr w:wrap="around" w:y="15310"/>
      <w:spacing w:line="0" w:lineRule="atLeast"/>
    </w:pPr>
    <w:rPr>
      <w:rFonts w:ascii="黑体" w:hAnsi="黑体" w:eastAsia="黑体" w:cs="黑体"/>
    </w:rPr>
  </w:style>
  <w:style w:type="paragraph" w:customStyle="1" w:styleId="44">
    <w:name w:val="其他发布部门2"/>
    <w:basedOn w:val="31"/>
    <w:qFormat/>
    <w:uiPriority w:val="0"/>
    <w:pPr>
      <w:framePr w:w="7432" w:h="584" w:hRule="exact" w:hSpace="181" w:wrap="around" w:vAnchor="margin" w:hAnchor="margin" w:xAlign="center" w:y="15024"/>
      <w:spacing w:before="0" w:line="14" w:lineRule="atLeast"/>
    </w:pPr>
    <w:rPr>
      <w:rFonts w:ascii="黑体" w:hAnsi="黑体" w:eastAsia="黑体"/>
      <w:spacing w:val="0"/>
      <w:w w:val="100"/>
    </w:rPr>
  </w:style>
  <w:style w:type="paragraph" w:customStyle="1" w:styleId="45">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lang w:val="en-US" w:eastAsia="zh-CN" w:bidi="ar-SA"/>
    </w:rPr>
  </w:style>
  <w:style w:type="paragraph" w:customStyle="1" w:styleId="46">
    <w:name w:val="其他发布日期"/>
    <w:basedOn w:val="32"/>
    <w:qFormat/>
    <w:uiPriority w:val="0"/>
    <w:pPr>
      <w:framePr w:hSpace="0" w:wrap="around" w:vAnchor="page" w:hAnchor="text" w:x="1419" w:y="14176"/>
    </w:pPr>
  </w:style>
  <w:style w:type="paragraph" w:customStyle="1" w:styleId="47">
    <w:name w:val="其他实施日期"/>
    <w:basedOn w:val="33"/>
    <w:qFormat/>
    <w:uiPriority w:val="0"/>
    <w:pPr>
      <w:framePr w:wrap="around"/>
    </w:pPr>
  </w:style>
  <w:style w:type="paragraph" w:customStyle="1" w:styleId="48">
    <w:name w:val="文献分类号"/>
    <w:qFormat/>
    <w:uiPriority w:val="0"/>
    <w:pPr>
      <w:framePr w:wrap="around" w:vAnchor="page" w:hAnchor="page" w:x="1372" w:y="567"/>
      <w:widowControl w:val="0"/>
      <w:textAlignment w:val="center"/>
    </w:pPr>
    <w:rPr>
      <w:rFonts w:hint="eastAsia" w:ascii="黑体" w:hAnsi="Times New Roman" w:eastAsia="黑体" w:cs="Times New Roman"/>
      <w:kern w:val="21"/>
      <w:sz w:val="21"/>
      <w:lang w:val="en-US" w:eastAsia="zh-CN" w:bidi="ar-SA"/>
    </w:rPr>
  </w:style>
  <w:style w:type="paragraph" w:customStyle="1" w:styleId="49">
    <w:name w:val="标准文件_目录标题"/>
    <w:basedOn w:val="1"/>
    <w:qFormat/>
    <w:uiPriority w:val="0"/>
    <w:pPr>
      <w:shd w:val="clear" w:color="auto" w:fill="FFFFFF"/>
      <w:spacing w:after="150" w:afterLines="150"/>
      <w:jc w:val="center"/>
    </w:pPr>
    <w:rPr>
      <w:rFonts w:ascii="黑体" w:eastAsia="黑体" w:cs="黑体"/>
      <w:kern w:val="0"/>
      <w:sz w:val="32"/>
    </w:rPr>
  </w:style>
  <w:style w:type="paragraph" w:customStyle="1" w:styleId="50">
    <w:name w:val="标准文件_前言、引言标题"/>
    <w:next w:val="1"/>
    <w:qFormat/>
    <w:uiPriority w:val="0"/>
    <w:pPr>
      <w:numPr>
        <w:ilvl w:val="0"/>
        <w:numId w:val="3"/>
      </w:numPr>
      <w:spacing w:after="150" w:afterLines="150"/>
      <w:ind w:left="0" w:firstLine="0"/>
      <w:jc w:val="center"/>
      <w:outlineLvl w:val="0"/>
    </w:pPr>
    <w:rPr>
      <w:rFonts w:hint="eastAsia" w:ascii="黑体" w:hAnsi="Times New Roman" w:eastAsia="黑体" w:cs="黑体"/>
      <w:sz w:val="32"/>
      <w:lang w:val="en-US" w:eastAsia="zh-CN" w:bidi="ar-SA"/>
    </w:rPr>
  </w:style>
  <w:style w:type="paragraph" w:customStyle="1" w:styleId="51">
    <w:name w:val="标准文件_正文标准名称"/>
    <w:basedOn w:val="1"/>
    <w:link w:val="115"/>
    <w:qFormat/>
    <w:uiPriority w:val="0"/>
    <w:pPr>
      <w:widowControl/>
      <w:spacing w:after="640" w:line="400" w:lineRule="exact"/>
      <w:jc w:val="center"/>
    </w:pPr>
    <w:rPr>
      <w:rFonts w:ascii="黑体" w:hAnsi="黑体" w:eastAsia="黑体" w:cs="黑体"/>
      <w:sz w:val="32"/>
    </w:rPr>
  </w:style>
  <w:style w:type="paragraph" w:customStyle="1" w:styleId="52">
    <w:name w:val="标准文件_一级项"/>
    <w:next w:val="20"/>
    <w:qFormat/>
    <w:uiPriority w:val="0"/>
    <w:pPr>
      <w:numPr>
        <w:ilvl w:val="0"/>
        <w:numId w:val="4"/>
      </w:numPr>
    </w:pPr>
    <w:rPr>
      <w:rFonts w:hint="eastAsia" w:ascii="宋体" w:hAnsi="Times New Roman" w:eastAsia="宋体" w:cs="宋体"/>
      <w:sz w:val="21"/>
      <w:lang w:val="en-US" w:eastAsia="zh-CN" w:bidi="ar-SA"/>
    </w:rPr>
  </w:style>
  <w:style w:type="paragraph" w:customStyle="1" w:styleId="53">
    <w:name w:val="标准文件_二级项2"/>
    <w:basedOn w:val="20"/>
    <w:next w:val="20"/>
    <w:qFormat/>
    <w:uiPriority w:val="0"/>
    <w:pPr>
      <w:numPr>
        <w:ilvl w:val="1"/>
        <w:numId w:val="4"/>
      </w:numPr>
      <w:ind w:firstLine="0" w:firstLineChars="0"/>
    </w:pPr>
    <w:rPr>
      <w:rFonts w:cs="Times New Roman"/>
    </w:rPr>
  </w:style>
  <w:style w:type="paragraph" w:customStyle="1" w:styleId="54">
    <w:name w:val="标准文件_三级项"/>
    <w:basedOn w:val="1"/>
    <w:next w:val="20"/>
    <w:qFormat/>
    <w:uiPriority w:val="0"/>
    <w:pPr>
      <w:tabs>
        <w:tab w:val="left" w:pos="851"/>
        <w:tab w:val="left" w:pos="1678"/>
      </w:tabs>
      <w:spacing w:line="300" w:lineRule="exact"/>
    </w:pPr>
    <w:rPr>
      <w:rFonts w:hAnsi="Calibri"/>
    </w:rPr>
  </w:style>
  <w:style w:type="paragraph" w:customStyle="1" w:styleId="55">
    <w:name w:val="标准文件_字母编号列项（一级）"/>
    <w:next w:val="20"/>
    <w:qFormat/>
    <w:uiPriority w:val="0"/>
    <w:pPr>
      <w:numPr>
        <w:ilvl w:val="0"/>
        <w:numId w:val="5"/>
      </w:numPr>
      <w:jc w:val="both"/>
    </w:pPr>
    <w:rPr>
      <w:rFonts w:hint="eastAsia" w:ascii="宋体" w:hAnsi="Times New Roman" w:eastAsia="宋体" w:cs="宋体"/>
      <w:sz w:val="21"/>
      <w:lang w:val="en-US" w:eastAsia="zh-CN" w:bidi="ar-SA"/>
    </w:rPr>
  </w:style>
  <w:style w:type="paragraph" w:customStyle="1" w:styleId="56">
    <w:name w:val="标准文件_数字编号列项（二级）"/>
    <w:next w:val="20"/>
    <w:qFormat/>
    <w:uiPriority w:val="0"/>
    <w:pPr>
      <w:numPr>
        <w:ilvl w:val="1"/>
        <w:numId w:val="5"/>
      </w:numPr>
      <w:jc w:val="both"/>
    </w:pPr>
    <w:rPr>
      <w:rFonts w:hint="eastAsia" w:ascii="宋体" w:hAnsi="Times New Roman" w:eastAsia="宋体" w:cs="Times New Roman"/>
      <w:sz w:val="21"/>
      <w:lang w:val="en-US" w:eastAsia="zh-CN" w:bidi="ar-SA"/>
    </w:rPr>
  </w:style>
  <w:style w:type="paragraph" w:customStyle="1" w:styleId="57">
    <w:name w:val="标准文件_引言一级条标题"/>
    <w:basedOn w:val="20"/>
    <w:next w:val="20"/>
    <w:qFormat/>
    <w:uiPriority w:val="0"/>
    <w:pPr>
      <w:spacing w:before="157" w:beforeLines="50" w:after="157" w:afterLines="50"/>
      <w:ind w:firstLine="0" w:firstLineChars="0"/>
    </w:pPr>
    <w:rPr>
      <w:rFonts w:ascii="黑体" w:hAnsi="黑体" w:eastAsia="黑体" w:cs="黑体"/>
    </w:rPr>
  </w:style>
  <w:style w:type="paragraph" w:customStyle="1" w:styleId="58">
    <w:name w:val="标准文件_引言二级条标题"/>
    <w:basedOn w:val="20"/>
    <w:next w:val="20"/>
    <w:qFormat/>
    <w:uiPriority w:val="0"/>
    <w:pPr>
      <w:spacing w:before="157" w:beforeLines="50" w:after="157" w:afterLines="50"/>
      <w:ind w:firstLine="0" w:firstLineChars="0"/>
    </w:pPr>
    <w:rPr>
      <w:rFonts w:ascii="黑体" w:hAnsi="黑体" w:eastAsia="黑体" w:cs="黑体"/>
    </w:rPr>
  </w:style>
  <w:style w:type="paragraph" w:customStyle="1" w:styleId="59">
    <w:name w:val="标准文件_引言三级条标题"/>
    <w:basedOn w:val="20"/>
    <w:next w:val="20"/>
    <w:qFormat/>
    <w:uiPriority w:val="0"/>
    <w:pPr>
      <w:spacing w:before="157" w:beforeLines="50" w:after="157" w:afterLines="50"/>
      <w:ind w:firstLine="0" w:firstLineChars="0"/>
    </w:pPr>
    <w:rPr>
      <w:rFonts w:ascii="黑体" w:hAnsi="黑体" w:eastAsia="黑体" w:cs="黑体"/>
    </w:rPr>
  </w:style>
  <w:style w:type="paragraph" w:customStyle="1" w:styleId="60">
    <w:name w:val="标准文件_引言四级条标题"/>
    <w:basedOn w:val="20"/>
    <w:next w:val="20"/>
    <w:qFormat/>
    <w:uiPriority w:val="0"/>
    <w:pPr>
      <w:spacing w:before="157" w:beforeLines="50" w:after="157" w:afterLines="50"/>
      <w:ind w:firstLine="0" w:firstLineChars="0"/>
    </w:pPr>
    <w:rPr>
      <w:rFonts w:ascii="黑体" w:hAnsi="黑体" w:eastAsia="黑体" w:cs="黑体"/>
    </w:rPr>
  </w:style>
  <w:style w:type="paragraph" w:customStyle="1" w:styleId="61">
    <w:name w:val="标准文件_引言五级条标题"/>
    <w:basedOn w:val="20"/>
    <w:next w:val="20"/>
    <w:qFormat/>
    <w:uiPriority w:val="0"/>
    <w:pPr>
      <w:spacing w:before="157" w:beforeLines="50" w:after="157" w:afterLines="50"/>
      <w:ind w:firstLine="0" w:firstLineChars="0"/>
    </w:pPr>
    <w:rPr>
      <w:rFonts w:ascii="黑体" w:hAnsi="黑体" w:eastAsia="黑体" w:cs="黑体"/>
    </w:rPr>
  </w:style>
  <w:style w:type="paragraph" w:customStyle="1" w:styleId="62">
    <w:name w:val="标准文件_引言一级无标题"/>
    <w:basedOn w:val="57"/>
    <w:next w:val="20"/>
    <w:qFormat/>
    <w:uiPriority w:val="0"/>
    <w:pPr>
      <w:spacing w:before="0" w:beforeLines="0" w:after="0" w:afterLines="0" w:line="276" w:lineRule="auto"/>
    </w:pPr>
    <w:rPr>
      <w:rFonts w:ascii="宋体" w:hAnsi="宋体" w:eastAsia="宋体" w:cs="宋体"/>
    </w:rPr>
  </w:style>
  <w:style w:type="paragraph" w:customStyle="1" w:styleId="63">
    <w:name w:val="标准文件_引言二级无标题"/>
    <w:basedOn w:val="58"/>
    <w:next w:val="20"/>
    <w:qFormat/>
    <w:uiPriority w:val="0"/>
    <w:pPr>
      <w:spacing w:before="0" w:beforeLines="0" w:after="0" w:afterLines="0" w:line="276" w:lineRule="auto"/>
    </w:pPr>
    <w:rPr>
      <w:rFonts w:ascii="宋体" w:hAnsi="宋体" w:eastAsia="宋体" w:cs="宋体"/>
    </w:rPr>
  </w:style>
  <w:style w:type="paragraph" w:customStyle="1" w:styleId="64">
    <w:name w:val="标准文件_引言三级无标题"/>
    <w:basedOn w:val="59"/>
    <w:next w:val="20"/>
    <w:qFormat/>
    <w:uiPriority w:val="0"/>
    <w:pPr>
      <w:spacing w:before="0" w:beforeLines="0" w:after="0" w:afterLines="0" w:line="276" w:lineRule="auto"/>
    </w:pPr>
    <w:rPr>
      <w:rFonts w:ascii="宋体" w:hAnsi="宋体" w:eastAsia="宋体" w:cs="宋体"/>
    </w:rPr>
  </w:style>
  <w:style w:type="paragraph" w:customStyle="1" w:styleId="65">
    <w:name w:val="标准文件_引言四级无标题"/>
    <w:basedOn w:val="60"/>
    <w:next w:val="20"/>
    <w:qFormat/>
    <w:uiPriority w:val="0"/>
    <w:pPr>
      <w:spacing w:before="0" w:beforeLines="0" w:after="0" w:afterLines="0" w:line="276" w:lineRule="auto"/>
    </w:pPr>
    <w:rPr>
      <w:rFonts w:ascii="宋体" w:hAnsi="宋体" w:eastAsia="宋体" w:cs="宋体"/>
    </w:rPr>
  </w:style>
  <w:style w:type="paragraph" w:customStyle="1" w:styleId="66">
    <w:name w:val="标准文件_引言五级无标题"/>
    <w:basedOn w:val="61"/>
    <w:next w:val="20"/>
    <w:qFormat/>
    <w:uiPriority w:val="0"/>
    <w:pPr>
      <w:spacing w:before="0" w:beforeLines="0" w:after="0" w:afterLines="0" w:line="276" w:lineRule="auto"/>
    </w:pPr>
    <w:rPr>
      <w:rFonts w:ascii="宋体" w:hAnsi="宋体" w:eastAsia="宋体" w:cs="宋体"/>
    </w:rPr>
  </w:style>
  <w:style w:type="paragraph" w:customStyle="1" w:styleId="67">
    <w:name w:val="标准文件_章标题"/>
    <w:next w:val="20"/>
    <w:qFormat/>
    <w:uiPriority w:val="0"/>
    <w:pPr>
      <w:numPr>
        <w:ilvl w:val="0"/>
        <w:numId w:val="6"/>
      </w:numPr>
      <w:spacing w:before="100" w:beforeLines="100" w:after="100" w:afterLines="100"/>
      <w:jc w:val="both"/>
      <w:outlineLvl w:val="0"/>
    </w:pPr>
    <w:rPr>
      <w:rFonts w:hint="eastAsia" w:ascii="黑体" w:hAnsi="Times New Roman" w:eastAsia="黑体" w:cs="黑体"/>
      <w:sz w:val="21"/>
      <w:lang w:val="en-US" w:eastAsia="zh-CN" w:bidi="ar-SA"/>
    </w:rPr>
  </w:style>
  <w:style w:type="paragraph" w:customStyle="1" w:styleId="68">
    <w:name w:val="标准文件_一级条标题"/>
    <w:basedOn w:val="67"/>
    <w:next w:val="20"/>
    <w:qFormat/>
    <w:uiPriority w:val="0"/>
    <w:pPr>
      <w:numPr>
        <w:ilvl w:val="1"/>
      </w:numPr>
      <w:spacing w:before="50" w:beforeLines="50" w:after="50" w:afterLines="50"/>
      <w:outlineLvl w:val="1"/>
    </w:pPr>
  </w:style>
  <w:style w:type="paragraph" w:customStyle="1" w:styleId="69">
    <w:name w:val="标准文件_二级条标题"/>
    <w:next w:val="20"/>
    <w:qFormat/>
    <w:uiPriority w:val="0"/>
    <w:pPr>
      <w:numPr>
        <w:ilvl w:val="2"/>
        <w:numId w:val="6"/>
      </w:numPr>
      <w:spacing w:before="50" w:beforeLines="50" w:after="50" w:afterLines="50"/>
      <w:jc w:val="both"/>
      <w:outlineLvl w:val="2"/>
    </w:pPr>
    <w:rPr>
      <w:rFonts w:hint="eastAsia" w:ascii="黑体" w:hAnsi="黑体" w:eastAsia="黑体" w:cs="黑体"/>
      <w:sz w:val="21"/>
      <w:lang w:val="en-US" w:eastAsia="zh-CN" w:bidi="ar-SA"/>
    </w:rPr>
  </w:style>
  <w:style w:type="paragraph" w:customStyle="1" w:styleId="70">
    <w:name w:val="标准文件_三级条标题"/>
    <w:basedOn w:val="69"/>
    <w:next w:val="20"/>
    <w:qFormat/>
    <w:uiPriority w:val="0"/>
    <w:pPr>
      <w:numPr>
        <w:ilvl w:val="3"/>
      </w:numPr>
      <w:outlineLvl w:val="3"/>
    </w:pPr>
  </w:style>
  <w:style w:type="paragraph" w:customStyle="1" w:styleId="71">
    <w:name w:val="标准文件_四级条标题"/>
    <w:next w:val="20"/>
    <w:qFormat/>
    <w:uiPriority w:val="0"/>
    <w:pPr>
      <w:numPr>
        <w:ilvl w:val="4"/>
        <w:numId w:val="6"/>
      </w:numPr>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2">
    <w:name w:val="标准文件_五级条标题"/>
    <w:next w:val="20"/>
    <w:qFormat/>
    <w:uiPriority w:val="0"/>
    <w:pPr>
      <w:numPr>
        <w:ilvl w:val="5"/>
        <w:numId w:val="6"/>
      </w:numPr>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3">
    <w:name w:val="标准文件_一级无标题"/>
    <w:basedOn w:val="68"/>
    <w:qFormat/>
    <w:uiPriority w:val="0"/>
    <w:pPr>
      <w:spacing w:before="0" w:beforeLines="0" w:after="0" w:afterLines="0"/>
      <w:outlineLvl w:val="9"/>
    </w:pPr>
    <w:rPr>
      <w:rFonts w:ascii="宋体" w:hAnsi="宋体" w:eastAsia="宋体" w:cs="宋体"/>
    </w:rPr>
  </w:style>
  <w:style w:type="paragraph" w:customStyle="1" w:styleId="74">
    <w:name w:val="标准文件_二级无标题"/>
    <w:basedOn w:val="69"/>
    <w:qFormat/>
    <w:uiPriority w:val="0"/>
    <w:pPr>
      <w:spacing w:before="0" w:beforeLines="0" w:after="0" w:afterLines="0"/>
      <w:outlineLvl w:val="9"/>
    </w:pPr>
    <w:rPr>
      <w:rFonts w:ascii="宋体" w:hAnsi="宋体" w:eastAsia="宋体" w:cs="宋体"/>
    </w:rPr>
  </w:style>
  <w:style w:type="paragraph" w:customStyle="1" w:styleId="75">
    <w:name w:val="标准文件_三级无标题"/>
    <w:basedOn w:val="70"/>
    <w:qFormat/>
    <w:uiPriority w:val="0"/>
    <w:pPr>
      <w:spacing w:before="0" w:beforeLines="0" w:after="0" w:afterLines="0"/>
      <w:outlineLvl w:val="9"/>
    </w:pPr>
    <w:rPr>
      <w:rFonts w:ascii="宋体" w:hAnsi="宋体" w:eastAsia="宋体" w:cs="宋体"/>
    </w:rPr>
  </w:style>
  <w:style w:type="paragraph" w:customStyle="1" w:styleId="76">
    <w:name w:val="标准文件_四级无标题"/>
    <w:basedOn w:val="71"/>
    <w:qFormat/>
    <w:uiPriority w:val="0"/>
    <w:pPr>
      <w:spacing w:before="0" w:beforeLines="0" w:after="0" w:afterLines="0"/>
      <w:outlineLvl w:val="9"/>
    </w:pPr>
    <w:rPr>
      <w:rFonts w:ascii="宋体" w:hAnsi="宋体" w:eastAsia="宋体" w:cs="宋体"/>
    </w:rPr>
  </w:style>
  <w:style w:type="paragraph" w:customStyle="1" w:styleId="77">
    <w:name w:val="标准文件_五级无标题"/>
    <w:basedOn w:val="72"/>
    <w:qFormat/>
    <w:uiPriority w:val="0"/>
    <w:pPr>
      <w:spacing w:before="0" w:beforeLines="0" w:after="0" w:afterLines="0"/>
      <w:outlineLvl w:val="9"/>
    </w:pPr>
    <w:rPr>
      <w:rFonts w:ascii="宋体" w:hAnsi="宋体" w:eastAsia="宋体" w:cs="宋体"/>
    </w:rPr>
  </w:style>
  <w:style w:type="paragraph" w:customStyle="1" w:styleId="78">
    <w:name w:val="标准文件_术语条一"/>
    <w:basedOn w:val="73"/>
    <w:next w:val="20"/>
    <w:qFormat/>
    <w:uiPriority w:val="0"/>
    <w:pPr>
      <w:ind w:left="420" w:hanging="200" w:hangingChars="200"/>
    </w:pPr>
    <w:rPr>
      <w:rFonts w:ascii="黑体" w:hAnsi="黑体" w:eastAsia="黑体" w:cs="黑体"/>
    </w:rPr>
  </w:style>
  <w:style w:type="paragraph" w:customStyle="1" w:styleId="79">
    <w:name w:val="标准文件_术语条二"/>
    <w:basedOn w:val="74"/>
    <w:next w:val="20"/>
    <w:qFormat/>
    <w:uiPriority w:val="0"/>
    <w:pPr>
      <w:ind w:left="420" w:hanging="420" w:hangingChars="200"/>
    </w:pPr>
    <w:rPr>
      <w:rFonts w:ascii="黑体" w:hAnsi="黑体" w:eastAsia="黑体" w:cs="黑体"/>
    </w:rPr>
  </w:style>
  <w:style w:type="paragraph" w:customStyle="1" w:styleId="80">
    <w:name w:val="标准文件_术语条三"/>
    <w:basedOn w:val="75"/>
    <w:next w:val="20"/>
    <w:qFormat/>
    <w:uiPriority w:val="0"/>
    <w:pPr>
      <w:ind w:left="420" w:hanging="420" w:hangingChars="200"/>
    </w:pPr>
    <w:rPr>
      <w:rFonts w:ascii="黑体" w:hAnsi="黑体" w:eastAsia="黑体" w:cs="黑体"/>
    </w:rPr>
  </w:style>
  <w:style w:type="paragraph" w:customStyle="1" w:styleId="81">
    <w:name w:val="标准文件_术语条四"/>
    <w:basedOn w:val="76"/>
    <w:next w:val="20"/>
    <w:qFormat/>
    <w:uiPriority w:val="0"/>
    <w:pPr>
      <w:ind w:left="420" w:hanging="420" w:hangingChars="200"/>
    </w:pPr>
    <w:rPr>
      <w:rFonts w:ascii="黑体" w:hAnsi="黑体" w:eastAsia="黑体" w:cs="黑体"/>
    </w:rPr>
  </w:style>
  <w:style w:type="paragraph" w:customStyle="1" w:styleId="82">
    <w:name w:val="标准文件_术语条五"/>
    <w:basedOn w:val="77"/>
    <w:next w:val="20"/>
    <w:qFormat/>
    <w:uiPriority w:val="0"/>
    <w:pPr>
      <w:ind w:left="420" w:hanging="420" w:hangingChars="200"/>
    </w:pPr>
    <w:rPr>
      <w:rFonts w:ascii="黑体" w:hAnsi="黑体" w:eastAsia="黑体" w:cs="黑体"/>
    </w:rPr>
  </w:style>
  <w:style w:type="paragraph" w:customStyle="1" w:styleId="83">
    <w:name w:val="标准文件_附录标识"/>
    <w:basedOn w:val="1"/>
    <w:next w:val="20"/>
    <w:qFormat/>
    <w:uiPriority w:val="0"/>
    <w:pPr>
      <w:widowControl/>
      <w:numPr>
        <w:ilvl w:val="0"/>
        <w:numId w:val="7"/>
      </w:numPr>
      <w:spacing w:before="79" w:beforeLines="25" w:after="157" w:afterLines="50"/>
      <w:jc w:val="center"/>
      <w:outlineLvl w:val="0"/>
    </w:pPr>
    <w:rPr>
      <w:rFonts w:ascii="黑体" w:hAnsi="黑体" w:eastAsia="黑体" w:cs="黑体"/>
    </w:rPr>
  </w:style>
  <w:style w:type="paragraph" w:customStyle="1" w:styleId="84">
    <w:name w:val="标准文件_附录一级条标题"/>
    <w:next w:val="20"/>
    <w:qFormat/>
    <w:uiPriority w:val="0"/>
    <w:pPr>
      <w:numPr>
        <w:ilvl w:val="1"/>
        <w:numId w:val="7"/>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85">
    <w:name w:val="标准文件_附录二级条标题"/>
    <w:next w:val="20"/>
    <w:qFormat/>
    <w:uiPriority w:val="0"/>
    <w:pPr>
      <w:numPr>
        <w:ilvl w:val="2"/>
        <w:numId w:val="7"/>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86">
    <w:name w:val="标准文件_附录三级条标题"/>
    <w:next w:val="20"/>
    <w:qFormat/>
    <w:uiPriority w:val="0"/>
    <w:pPr>
      <w:numPr>
        <w:ilvl w:val="3"/>
        <w:numId w:val="7"/>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87">
    <w:name w:val="标准文件_附录四级条标题"/>
    <w:next w:val="20"/>
    <w:qFormat/>
    <w:uiPriority w:val="0"/>
    <w:pPr>
      <w:numPr>
        <w:ilvl w:val="4"/>
        <w:numId w:val="7"/>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88">
    <w:name w:val="标准文件_附录五级条标题"/>
    <w:next w:val="20"/>
    <w:qFormat/>
    <w:uiPriority w:val="0"/>
    <w:pPr>
      <w:numPr>
        <w:ilvl w:val="5"/>
        <w:numId w:val="7"/>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89">
    <w:name w:val="标准文件_附录一级无标题"/>
    <w:basedOn w:val="84"/>
    <w:qFormat/>
    <w:uiPriority w:val="0"/>
    <w:pPr>
      <w:spacing w:before="0" w:beforeLines="0" w:after="0" w:afterLines="0" w:line="276" w:lineRule="auto"/>
    </w:pPr>
    <w:rPr>
      <w:rFonts w:ascii="宋体" w:hAnsi="宋体" w:eastAsia="宋体" w:cs="宋体"/>
    </w:rPr>
  </w:style>
  <w:style w:type="paragraph" w:customStyle="1" w:styleId="90">
    <w:name w:val="标准文件_附录二级无标题"/>
    <w:basedOn w:val="85"/>
    <w:qFormat/>
    <w:uiPriority w:val="0"/>
    <w:pPr>
      <w:spacing w:before="0" w:beforeLines="0" w:after="0" w:afterLines="0" w:line="276" w:lineRule="auto"/>
    </w:pPr>
    <w:rPr>
      <w:rFonts w:ascii="宋体" w:hAnsi="宋体" w:eastAsia="宋体" w:cs="宋体"/>
    </w:rPr>
  </w:style>
  <w:style w:type="paragraph" w:customStyle="1" w:styleId="91">
    <w:name w:val="标准文件_附录三级无标题"/>
    <w:basedOn w:val="86"/>
    <w:qFormat/>
    <w:uiPriority w:val="0"/>
    <w:pPr>
      <w:spacing w:before="0" w:beforeLines="0" w:after="0" w:afterLines="0" w:line="276" w:lineRule="auto"/>
    </w:pPr>
    <w:rPr>
      <w:rFonts w:ascii="宋体" w:hAnsi="宋体" w:eastAsia="宋体" w:cs="宋体"/>
    </w:rPr>
  </w:style>
  <w:style w:type="paragraph" w:customStyle="1" w:styleId="92">
    <w:name w:val="标准文件_附录四级无标题"/>
    <w:basedOn w:val="87"/>
    <w:qFormat/>
    <w:uiPriority w:val="0"/>
    <w:pPr>
      <w:spacing w:before="0" w:beforeLines="0" w:after="0" w:afterLines="0" w:line="276" w:lineRule="auto"/>
    </w:pPr>
    <w:rPr>
      <w:rFonts w:ascii="宋体" w:hAnsi="宋体" w:eastAsia="宋体" w:cs="宋体"/>
    </w:rPr>
  </w:style>
  <w:style w:type="paragraph" w:customStyle="1" w:styleId="93">
    <w:name w:val="标准文件_附录五级无标题"/>
    <w:basedOn w:val="88"/>
    <w:qFormat/>
    <w:uiPriority w:val="0"/>
    <w:pPr>
      <w:spacing w:before="0" w:beforeLines="0" w:after="0" w:afterLines="0" w:line="276" w:lineRule="auto"/>
    </w:pPr>
    <w:rPr>
      <w:rFonts w:ascii="宋体" w:hAnsi="宋体" w:eastAsia="宋体" w:cs="宋体"/>
    </w:rPr>
  </w:style>
  <w:style w:type="paragraph" w:customStyle="1" w:styleId="94">
    <w:name w:val="附录图标号"/>
    <w:basedOn w:val="20"/>
    <w:next w:val="20"/>
    <w:qFormat/>
    <w:uiPriority w:val="0"/>
    <w:pPr>
      <w:numPr>
        <w:ilvl w:val="0"/>
        <w:numId w:val="8"/>
      </w:numPr>
      <w:spacing w:line="14" w:lineRule="exact"/>
      <w:jc w:val="center"/>
    </w:pPr>
    <w:rPr>
      <w:sz w:val="2"/>
    </w:rPr>
  </w:style>
  <w:style w:type="paragraph" w:customStyle="1" w:styleId="95">
    <w:name w:val="附录图标题"/>
    <w:next w:val="20"/>
    <w:qFormat/>
    <w:uiPriority w:val="0"/>
    <w:pPr>
      <w:numPr>
        <w:ilvl w:val="1"/>
        <w:numId w:val="8"/>
      </w:numPr>
      <w:spacing w:before="157" w:beforeLines="50" w:after="157" w:afterLines="50"/>
      <w:jc w:val="center"/>
    </w:pPr>
    <w:rPr>
      <w:rFonts w:hint="eastAsia" w:ascii="黑体" w:hAnsi="黑体" w:eastAsia="黑体" w:cs="黑体"/>
      <w:sz w:val="21"/>
      <w:lang w:val="en-US" w:eastAsia="zh-CN" w:bidi="ar-SA"/>
    </w:rPr>
  </w:style>
  <w:style w:type="paragraph" w:customStyle="1" w:styleId="96">
    <w:name w:val="附录表标号"/>
    <w:basedOn w:val="20"/>
    <w:next w:val="20"/>
    <w:qFormat/>
    <w:uiPriority w:val="0"/>
    <w:pPr>
      <w:numPr>
        <w:ilvl w:val="0"/>
        <w:numId w:val="9"/>
      </w:numPr>
      <w:spacing w:line="14" w:lineRule="exact"/>
      <w:jc w:val="center"/>
    </w:pPr>
    <w:rPr>
      <w:sz w:val="2"/>
    </w:rPr>
  </w:style>
  <w:style w:type="paragraph" w:customStyle="1" w:styleId="97">
    <w:name w:val="附录表标题"/>
    <w:next w:val="20"/>
    <w:qFormat/>
    <w:uiPriority w:val="0"/>
    <w:pPr>
      <w:numPr>
        <w:ilvl w:val="1"/>
        <w:numId w:val="9"/>
      </w:numPr>
      <w:spacing w:before="157" w:beforeLines="50" w:after="157" w:afterLines="50"/>
      <w:jc w:val="center"/>
    </w:pPr>
    <w:rPr>
      <w:rFonts w:hint="eastAsia" w:ascii="黑体" w:hAnsi="黑体" w:eastAsia="黑体" w:cs="黑体"/>
      <w:sz w:val="21"/>
      <w:lang w:val="en-US" w:eastAsia="zh-CN" w:bidi="ar-SA"/>
    </w:rPr>
  </w:style>
  <w:style w:type="paragraph" w:customStyle="1" w:styleId="98">
    <w:name w:val="标准文件_示例内容"/>
    <w:basedOn w:val="20"/>
    <w:qFormat/>
    <w:uiPriority w:val="0"/>
    <w:rPr>
      <w:rFonts w:hAnsi="宋体"/>
      <w:sz w:val="18"/>
    </w:rPr>
  </w:style>
  <w:style w:type="paragraph" w:customStyle="1" w:styleId="99">
    <w:name w:val="标准文件_示例"/>
    <w:next w:val="98"/>
    <w:qFormat/>
    <w:uiPriority w:val="0"/>
    <w:pPr>
      <w:numPr>
        <w:ilvl w:val="0"/>
        <w:numId w:val="10"/>
      </w:numPr>
      <w:jc w:val="both"/>
    </w:pPr>
    <w:rPr>
      <w:rFonts w:hint="eastAsia" w:ascii="宋体" w:hAnsi="宋体" w:eastAsia="宋体" w:cs="宋体"/>
      <w:sz w:val="18"/>
      <w:lang w:val="en-US" w:eastAsia="zh-CN" w:bidi="ar-SA"/>
    </w:rPr>
  </w:style>
  <w:style w:type="paragraph" w:customStyle="1" w:styleId="100">
    <w:name w:val="标准文件_示例×"/>
    <w:basedOn w:val="1"/>
    <w:next w:val="98"/>
    <w:qFormat/>
    <w:uiPriority w:val="0"/>
    <w:pPr>
      <w:widowControl/>
      <w:numPr>
        <w:ilvl w:val="0"/>
        <w:numId w:val="11"/>
      </w:numPr>
    </w:pPr>
    <w:rPr>
      <w:rFonts w:hAnsi="宋体"/>
      <w:sz w:val="18"/>
    </w:rPr>
  </w:style>
  <w:style w:type="paragraph" w:customStyle="1" w:styleId="101">
    <w:name w:val="标准文件_注"/>
    <w:next w:val="20"/>
    <w:qFormat/>
    <w:uiPriority w:val="0"/>
    <w:pPr>
      <w:numPr>
        <w:ilvl w:val="0"/>
        <w:numId w:val="1"/>
      </w:numPr>
      <w:autoSpaceDE w:val="0"/>
      <w:autoSpaceDN w:val="0"/>
      <w:jc w:val="both"/>
    </w:pPr>
    <w:rPr>
      <w:rFonts w:hint="eastAsia" w:ascii="宋体" w:hAnsi="宋体" w:eastAsia="宋体" w:cs="宋体"/>
      <w:sz w:val="18"/>
      <w:lang w:val="en-US" w:eastAsia="zh-CN" w:bidi="ar-SA"/>
    </w:rPr>
  </w:style>
  <w:style w:type="paragraph" w:customStyle="1" w:styleId="102">
    <w:name w:val="标准文件_注×"/>
    <w:next w:val="20"/>
    <w:qFormat/>
    <w:uiPriority w:val="0"/>
    <w:pPr>
      <w:numPr>
        <w:ilvl w:val="0"/>
        <w:numId w:val="12"/>
      </w:numPr>
      <w:jc w:val="both"/>
    </w:pPr>
    <w:rPr>
      <w:rFonts w:hint="eastAsia" w:ascii="宋体" w:hAnsi="宋体" w:eastAsia="宋体" w:cs="宋体"/>
      <w:sz w:val="18"/>
      <w:lang w:val="en-US" w:eastAsia="zh-CN" w:bidi="ar-SA"/>
    </w:rPr>
  </w:style>
  <w:style w:type="paragraph" w:customStyle="1" w:styleId="103">
    <w:name w:val="标准文件_图表脚注"/>
    <w:basedOn w:val="1"/>
    <w:next w:val="20"/>
    <w:qFormat/>
    <w:uiPriority w:val="0"/>
    <w:pPr>
      <w:numPr>
        <w:ilvl w:val="0"/>
        <w:numId w:val="13"/>
      </w:numPr>
      <w:adjustRightInd w:val="0"/>
      <w:jc w:val="left"/>
    </w:pPr>
    <w:rPr>
      <w:rFonts w:hAnsi="宋体"/>
      <w:sz w:val="18"/>
    </w:rPr>
  </w:style>
  <w:style w:type="paragraph" w:customStyle="1" w:styleId="104">
    <w:name w:val="标准文件_标准正文"/>
    <w:basedOn w:val="1"/>
    <w:next w:val="20"/>
    <w:qFormat/>
    <w:uiPriority w:val="0"/>
    <w:pPr>
      <w:ind w:firstLine="420" w:firstLineChars="200"/>
    </w:pPr>
  </w:style>
  <w:style w:type="paragraph" w:customStyle="1" w:styleId="105">
    <w:name w:val="标准文件_正文公式"/>
    <w:basedOn w:val="1"/>
    <w:next w:val="104"/>
    <w:qFormat/>
    <w:uiPriority w:val="0"/>
    <w:pPr>
      <w:tabs>
        <w:tab w:val="center" w:pos="4678"/>
        <w:tab w:val="right" w:leader="middleDot" w:pos="9355"/>
      </w:tabs>
    </w:pPr>
  </w:style>
  <w:style w:type="paragraph" w:customStyle="1" w:styleId="106">
    <w:name w:val="标准文件_表格"/>
    <w:basedOn w:val="20"/>
    <w:qFormat/>
    <w:uiPriority w:val="0"/>
    <w:pPr>
      <w:jc w:val="center"/>
    </w:pPr>
    <w:rPr>
      <w:sz w:val="18"/>
    </w:rPr>
  </w:style>
  <w:style w:type="paragraph" w:customStyle="1" w:styleId="107">
    <w:name w:val="终结线"/>
    <w:basedOn w:val="1"/>
    <w:qFormat/>
    <w:uiPriority w:val="0"/>
    <w:pPr>
      <w:framePr w:hSpace="181" w:vSpace="181" w:wrap="around" w:vAnchor="text" w:hAnchor="margin" w:xAlign="center" w:y="284"/>
    </w:pPr>
    <w:rPr>
      <w:rFonts w:ascii="Times New Roman" w:cs="Times New Roman"/>
      <w:b/>
      <w:sz w:val="34"/>
    </w:rPr>
  </w:style>
  <w:style w:type="paragraph" w:customStyle="1" w:styleId="108">
    <w:name w:val="标准文件_正文表标题"/>
    <w:next w:val="20"/>
    <w:qFormat/>
    <w:uiPriority w:val="0"/>
    <w:pPr>
      <w:numPr>
        <w:ilvl w:val="0"/>
        <w:numId w:val="14"/>
      </w:numPr>
      <w:spacing w:before="157" w:beforeLines="50" w:after="157" w:afterLines="50"/>
      <w:jc w:val="center"/>
    </w:pPr>
    <w:rPr>
      <w:rFonts w:hint="eastAsia" w:ascii="黑体" w:hAnsi="黑体" w:eastAsia="黑体" w:cs="黑体"/>
      <w:sz w:val="21"/>
      <w:lang w:val="en-US" w:eastAsia="zh-CN" w:bidi="ar-SA"/>
    </w:rPr>
  </w:style>
  <w:style w:type="paragraph" w:customStyle="1" w:styleId="109">
    <w:name w:val="标准文件_正文图标题"/>
    <w:next w:val="20"/>
    <w:qFormat/>
    <w:uiPriority w:val="0"/>
    <w:pPr>
      <w:numPr>
        <w:ilvl w:val="0"/>
        <w:numId w:val="15"/>
      </w:numPr>
      <w:spacing w:before="157" w:beforeLines="50" w:after="157" w:afterLines="50"/>
      <w:jc w:val="center"/>
    </w:pPr>
    <w:rPr>
      <w:rFonts w:hint="eastAsia" w:ascii="黑体" w:hAnsi="黑体" w:eastAsia="黑体" w:cs="黑体"/>
      <w:sz w:val="21"/>
      <w:lang w:val="en-US" w:eastAsia="zh-CN" w:bidi="ar-SA"/>
    </w:rPr>
  </w:style>
  <w:style w:type="paragraph" w:customStyle="1" w:styleId="110">
    <w:name w:val="标准文件_索引标题"/>
    <w:basedOn w:val="29"/>
    <w:next w:val="20"/>
    <w:qFormat/>
    <w:uiPriority w:val="0"/>
    <w:rPr>
      <w:rFonts w:hAnsi="黑体"/>
    </w:rPr>
  </w:style>
  <w:style w:type="paragraph" w:customStyle="1" w:styleId="111">
    <w:name w:val="标准文件_索引项"/>
    <w:basedOn w:val="20"/>
    <w:next w:val="20"/>
    <w:qFormat/>
    <w:uiPriority w:val="0"/>
    <w:pPr>
      <w:tabs>
        <w:tab w:val="right" w:leader="dot" w:pos="9355"/>
      </w:tabs>
      <w:autoSpaceDE w:val="0"/>
      <w:autoSpaceDN w:val="0"/>
      <w:ind w:left="77" w:hanging="77" w:hangingChars="37"/>
      <w:jc w:val="left"/>
    </w:pPr>
  </w:style>
  <w:style w:type="paragraph" w:customStyle="1" w:styleId="112">
    <w:name w:val="标准文件_索引字母"/>
    <w:next w:val="20"/>
    <w:qFormat/>
    <w:uiPriority w:val="0"/>
    <w:pPr>
      <w:jc w:val="center"/>
    </w:pPr>
    <w:rPr>
      <w:rFonts w:hint="eastAsia" w:ascii="宋体" w:hAnsi="宋体" w:eastAsia="宋体" w:cs="宋体"/>
      <w:b/>
      <w:kern w:val="2"/>
      <w:sz w:val="21"/>
      <w:lang w:val="en-US" w:eastAsia="zh-CN" w:bidi="ar-SA"/>
    </w:rPr>
  </w:style>
  <w:style w:type="paragraph" w:customStyle="1" w:styleId="113">
    <w:name w:val="标准文件_提示"/>
    <w:basedOn w:val="1"/>
    <w:qFormat/>
    <w:uiPriority w:val="0"/>
    <w:pPr>
      <w:ind w:firstLine="420" w:firstLineChars="200"/>
    </w:pPr>
    <w:rPr>
      <w:rFonts w:ascii="黑体" w:hAnsi="黑体" w:eastAsia="黑体" w:cs="黑体"/>
    </w:rPr>
  </w:style>
  <w:style w:type="paragraph" w:customStyle="1" w:styleId="114">
    <w:name w:val="标准文件_参考文献编号"/>
    <w:basedOn w:val="20"/>
    <w:qFormat/>
    <w:uiPriority w:val="0"/>
    <w:pPr>
      <w:numPr>
        <w:ilvl w:val="0"/>
        <w:numId w:val="16"/>
      </w:numPr>
    </w:pPr>
  </w:style>
  <w:style w:type="character" w:customStyle="1" w:styleId="115">
    <w:name w:val="标准文件_正文标准名称 Char"/>
    <w:link w:val="51"/>
    <w:qFormat/>
    <w:uiPriority w:val="0"/>
    <w:rPr>
      <w:rFonts w:ascii="黑体" w:hAnsi="黑体" w:eastAsia="黑体" w:cs="黑体"/>
      <w:kern w:val="2"/>
      <w:sz w:val="32"/>
      <w:szCs w:val="24"/>
    </w:rPr>
  </w:style>
  <w:style w:type="character" w:styleId="116">
    <w:name w:val="Placeholder Text"/>
    <w:basedOn w:val="17"/>
    <w:unhideWhenUsed/>
    <w:qFormat/>
    <w:uiPriority w:val="99"/>
    <w:rPr>
      <w:color w:val="666666"/>
    </w:rPr>
  </w:style>
  <w:style w:type="paragraph" w:customStyle="1" w:styleId="117">
    <w:name w:val="四级条标题"/>
    <w:basedOn w:val="118"/>
    <w:next w:val="1"/>
    <w:qFormat/>
    <w:uiPriority w:val="0"/>
    <w:pPr>
      <w:numPr>
        <w:ilvl w:val="4"/>
      </w:numPr>
      <w:outlineLvl w:val="5"/>
    </w:pPr>
  </w:style>
  <w:style w:type="paragraph" w:customStyle="1" w:styleId="118">
    <w:name w:val="三级条标题"/>
    <w:basedOn w:val="119"/>
    <w:next w:val="1"/>
    <w:qFormat/>
    <w:uiPriority w:val="0"/>
    <w:pPr>
      <w:numPr>
        <w:ilvl w:val="3"/>
      </w:numPr>
      <w:outlineLvl w:val="4"/>
    </w:pPr>
  </w:style>
  <w:style w:type="paragraph" w:customStyle="1" w:styleId="119">
    <w:name w:val="二级条标题"/>
    <w:basedOn w:val="120"/>
    <w:next w:val="1"/>
    <w:qFormat/>
    <w:uiPriority w:val="0"/>
    <w:pPr>
      <w:numPr>
        <w:ilvl w:val="2"/>
      </w:numPr>
      <w:spacing w:before="50" w:after="50"/>
      <w:outlineLvl w:val="3"/>
    </w:pPr>
  </w:style>
  <w:style w:type="paragraph" w:customStyle="1" w:styleId="120">
    <w:name w:val="一级条标题"/>
    <w:next w:val="1"/>
    <w:qFormat/>
    <w:uiPriority w:val="0"/>
    <w:pPr>
      <w:numPr>
        <w:ilvl w:val="1"/>
        <w:numId w:val="17"/>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21">
    <w:name w:val="章标题"/>
    <w:next w:val="1"/>
    <w:qFormat/>
    <w:uiPriority w:val="0"/>
    <w:pPr>
      <w:numPr>
        <w:ilvl w:val="0"/>
        <w:numId w:val="17"/>
      </w:numPr>
      <w:spacing w:before="100" w:beforeLines="100" w:after="100" w:afterLines="100"/>
      <w:jc w:val="both"/>
      <w:outlineLvl w:val="0"/>
    </w:pPr>
    <w:rPr>
      <w:rFonts w:ascii="黑体" w:hAnsi="黑体" w:eastAsia="黑体" w:cs="Times New Roman"/>
      <w:sz w:val="21"/>
      <w:lang w:val="en-US" w:eastAsia="zh-CN" w:bidi="ar-SA"/>
    </w:rPr>
  </w:style>
  <w:style w:type="paragraph" w:customStyle="1" w:styleId="122">
    <w:name w:val="五级条标题"/>
    <w:basedOn w:val="117"/>
    <w:next w:val="1"/>
    <w:qFormat/>
    <w:uiPriority w:val="0"/>
    <w:pPr>
      <w:numPr>
        <w:ilvl w:val="5"/>
      </w:numPr>
      <w:outlineLvl w:val="6"/>
    </w:pPr>
  </w:style>
  <w:style w:type="paragraph" w:customStyle="1" w:styleId="123">
    <w:name w:val="段"/>
    <w:link w:val="124"/>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character" w:customStyle="1" w:styleId="124">
    <w:name w:val="段 Char"/>
    <w:link w:val="123"/>
    <w:qFormat/>
    <w:uiPriority w:val="0"/>
    <w:rPr>
      <w:rFonts w:ascii="宋体" w:hAnsi="宋体" w:eastAsia="宋体" w:cs="Times New Roman"/>
      <w:sz w:val="21"/>
    </w:rPr>
  </w:style>
  <w:style w:type="paragraph" w:customStyle="1" w:styleId="125">
    <w:name w:val="段内标注"/>
    <w:basedOn w:val="1"/>
    <w:qFormat/>
    <w:uiPriority w:val="0"/>
    <w:pPr>
      <w:ind w:firstLine="200" w:firstLineChars="200"/>
    </w:pPr>
    <w:rPr>
      <w:rFonts w:hint="default" w:ascii="仿宋" w:hAnsi="仿宋" w:cs="Times New Roman"/>
      <w:bCs/>
      <w:sz w:val="18"/>
    </w:rPr>
  </w:style>
  <w:style w:type="character" w:customStyle="1" w:styleId="126">
    <w:name w:val="文档结构图 字符"/>
    <w:basedOn w:val="17"/>
    <w:link w:val="10"/>
    <w:qFormat/>
    <w:uiPriority w:val="0"/>
    <w:rPr>
      <w:rFonts w:ascii="Times New Roman" w:hAnsi="Times New Roman" w:eastAsia="宋体" w:cs="Times New Roman"/>
      <w:kern w:val="2"/>
      <w:sz w:val="21"/>
      <w:szCs w:val="24"/>
      <w:shd w:val="clear" w:color="auto" w:fill="000080"/>
    </w:rPr>
  </w:style>
  <w:style w:type="paragraph" w:customStyle="1" w:styleId="127">
    <w:name w:val="数字编号列项（二级）"/>
    <w:qFormat/>
    <w:uiPriority w:val="0"/>
    <w:pPr>
      <w:numPr>
        <w:ilvl w:val="1"/>
        <w:numId w:val="18"/>
      </w:numPr>
      <w:jc w:val="both"/>
    </w:pPr>
    <w:rPr>
      <w:rFonts w:ascii="宋体" w:hAnsi="Times New Roman" w:eastAsia="宋体" w:cs="Times New Roman"/>
      <w:sz w:val="21"/>
      <w:lang w:val="en-US" w:eastAsia="zh-CN" w:bidi="ar-SA"/>
    </w:rPr>
  </w:style>
  <w:style w:type="paragraph" w:customStyle="1" w:styleId="128">
    <w:name w:val="字母编号列项（一级）"/>
    <w:qFormat/>
    <w:uiPriority w:val="0"/>
    <w:pPr>
      <w:numPr>
        <w:ilvl w:val="0"/>
        <w:numId w:val="18"/>
      </w:numPr>
      <w:jc w:val="both"/>
    </w:pPr>
    <w:rPr>
      <w:rFonts w:ascii="宋体" w:hAnsi="Times New Roman" w:eastAsia="宋体" w:cs="Times New Roman"/>
      <w:sz w:val="21"/>
      <w:lang w:val="en-US" w:eastAsia="zh-CN" w:bidi="ar-SA"/>
    </w:rPr>
  </w:style>
  <w:style w:type="paragraph" w:customStyle="1" w:styleId="129">
    <w:name w:val="编号列项（三级）"/>
    <w:qFormat/>
    <w:uiPriority w:val="0"/>
    <w:pPr>
      <w:numPr>
        <w:ilvl w:val="2"/>
        <w:numId w:val="18"/>
      </w:numPr>
    </w:pPr>
    <w:rPr>
      <w:rFonts w:ascii="宋体" w:hAnsi="Times New Roman" w:eastAsia="宋体" w:cs="Times New Roman"/>
      <w:sz w:val="21"/>
      <w:lang w:val="en-US" w:eastAsia="zh-CN" w:bidi="ar-SA"/>
    </w:rPr>
  </w:style>
  <w:style w:type="paragraph" w:customStyle="1" w:styleId="130">
    <w:name w:val="目录 11"/>
    <w:basedOn w:val="1"/>
    <w:link w:val="131"/>
    <w:qFormat/>
    <w:uiPriority w:val="0"/>
    <w:pPr>
      <w:spacing w:line="400" w:lineRule="exact"/>
    </w:pPr>
    <w:rPr>
      <w:rFonts w:hint="default" w:hAnsi="宋体"/>
    </w:rPr>
  </w:style>
  <w:style w:type="character" w:customStyle="1" w:styleId="131">
    <w:name w:val="目录 1 字符"/>
    <w:basedOn w:val="17"/>
    <w:link w:val="130"/>
    <w:qFormat/>
    <w:uiPriority w:val="0"/>
    <w:rPr>
      <w:rFonts w:ascii="宋体" w:hAnsi="宋体" w:eastAsia="宋体" w:cs="宋体"/>
      <w:kern w:val="2"/>
      <w:sz w:val="21"/>
      <w:szCs w:val="24"/>
    </w:rPr>
  </w:style>
  <w:style w:type="paragraph" w:customStyle="1" w:styleId="132">
    <w:name w:val="目录 21"/>
    <w:basedOn w:val="1"/>
    <w:link w:val="133"/>
    <w:qFormat/>
    <w:uiPriority w:val="0"/>
    <w:pPr>
      <w:spacing w:line="300" w:lineRule="exact"/>
    </w:pPr>
    <w:rPr>
      <w:rFonts w:hint="default" w:hAnsi="宋体"/>
    </w:rPr>
  </w:style>
  <w:style w:type="character" w:customStyle="1" w:styleId="133">
    <w:name w:val="目录 2 字符"/>
    <w:basedOn w:val="17"/>
    <w:link w:val="132"/>
    <w:qFormat/>
    <w:uiPriority w:val="0"/>
    <w:rPr>
      <w:rFonts w:ascii="宋体" w:hAnsi="宋体" w:eastAsia="宋体" w:cs="宋体"/>
      <w:kern w:val="2"/>
      <w:sz w:val="21"/>
      <w:szCs w:val="24"/>
    </w:rPr>
  </w:style>
  <w:style w:type="paragraph" w:customStyle="1" w:styleId="134">
    <w:name w:val="目录 31"/>
    <w:basedOn w:val="1"/>
    <w:link w:val="135"/>
    <w:qFormat/>
    <w:uiPriority w:val="0"/>
    <w:pPr>
      <w:spacing w:line="300" w:lineRule="exact"/>
    </w:pPr>
    <w:rPr>
      <w:rFonts w:hint="default" w:hAnsi="宋体"/>
    </w:rPr>
  </w:style>
  <w:style w:type="character" w:customStyle="1" w:styleId="135">
    <w:name w:val="目录 3 字符"/>
    <w:basedOn w:val="17"/>
    <w:link w:val="134"/>
    <w:qFormat/>
    <w:uiPriority w:val="0"/>
    <w:rPr>
      <w:rFonts w:ascii="宋体" w:hAnsi="宋体" w:eastAsia="宋体" w:cs="宋体"/>
      <w:kern w:val="2"/>
      <w:sz w:val="21"/>
      <w:szCs w:val="24"/>
    </w:rPr>
  </w:style>
  <w:style w:type="paragraph" w:customStyle="1" w:styleId="136">
    <w:name w:val="目录 41"/>
    <w:basedOn w:val="1"/>
    <w:link w:val="137"/>
    <w:qFormat/>
    <w:uiPriority w:val="0"/>
    <w:pPr>
      <w:spacing w:line="300" w:lineRule="exact"/>
    </w:pPr>
    <w:rPr>
      <w:rFonts w:hint="default" w:hAnsi="宋体"/>
    </w:rPr>
  </w:style>
  <w:style w:type="character" w:customStyle="1" w:styleId="137">
    <w:name w:val="目录 4 字符"/>
    <w:basedOn w:val="17"/>
    <w:link w:val="136"/>
    <w:qFormat/>
    <w:uiPriority w:val="0"/>
    <w:rPr>
      <w:rFonts w:ascii="宋体" w:hAnsi="宋体" w:eastAsia="宋体" w:cs="宋体"/>
      <w:kern w:val="2"/>
      <w:sz w:val="21"/>
      <w:szCs w:val="24"/>
    </w:rPr>
  </w:style>
  <w:style w:type="paragraph" w:customStyle="1" w:styleId="138">
    <w:name w:val="目录 51"/>
    <w:basedOn w:val="1"/>
    <w:link w:val="139"/>
    <w:qFormat/>
    <w:uiPriority w:val="0"/>
    <w:pPr>
      <w:spacing w:line="300" w:lineRule="exact"/>
    </w:pPr>
    <w:rPr>
      <w:rFonts w:hint="default" w:hAnsi="宋体"/>
    </w:rPr>
  </w:style>
  <w:style w:type="character" w:customStyle="1" w:styleId="139">
    <w:name w:val="目录 5 字符"/>
    <w:basedOn w:val="17"/>
    <w:link w:val="138"/>
    <w:qFormat/>
    <w:uiPriority w:val="0"/>
    <w:rPr>
      <w:rFonts w:ascii="宋体" w:hAnsi="宋体" w:eastAsia="宋体" w:cs="宋体"/>
      <w:kern w:val="2"/>
      <w:sz w:val="21"/>
      <w:szCs w:val="24"/>
    </w:rPr>
  </w:style>
  <w:style w:type="paragraph" w:customStyle="1" w:styleId="140">
    <w:name w:val="目录 61"/>
    <w:basedOn w:val="1"/>
    <w:link w:val="141"/>
    <w:qFormat/>
    <w:uiPriority w:val="0"/>
    <w:pPr>
      <w:spacing w:line="300" w:lineRule="exact"/>
    </w:pPr>
    <w:rPr>
      <w:rFonts w:hint="default" w:hAnsi="宋体"/>
    </w:rPr>
  </w:style>
  <w:style w:type="character" w:customStyle="1" w:styleId="141">
    <w:name w:val="目录 6 字符"/>
    <w:basedOn w:val="17"/>
    <w:link w:val="140"/>
    <w:qFormat/>
    <w:uiPriority w:val="0"/>
    <w:rPr>
      <w:rFonts w:ascii="宋体" w:hAnsi="宋体" w:eastAsia="宋体" w:cs="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20Edit%20Software%202020%20for%20Word\Template\Template.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9EAE7D20-C796-4502-B956-087F05A1FABB}"/>
      </w:docPartPr>
      <w:docPartBody>
        <w:p w14:paraId="7149410C">
          <w:pPr>
            <w:rPr>
              <w:rFonts w:hint="eastAsia"/>
            </w:rPr>
          </w:pPr>
          <w:r>
            <w:rPr>
              <w:rStyle w:val="4"/>
            </w:rPr>
            <w:t>单击或点击此处输入文字。</w:t>
          </w:r>
        </w:p>
      </w:docPartBody>
    </w:docPart>
    <w:docPart>
      <w:docPartPr>
        <w:name w:val="DefaultPlaceholder_-1854013438"/>
        <w:style w:val=""/>
        <w:category>
          <w:name w:val="常规"/>
          <w:gallery w:val="placeholder"/>
        </w:category>
        <w:types>
          <w:type w:val="bbPlcHdr"/>
        </w:types>
        <w:behaviors>
          <w:behavior w:val="content"/>
        </w:behaviors>
        <w:description w:val=""/>
        <w:guid w:val="{FCAEB2AB-EA38-4A32-9A0D-EE5B35E2DD4A}"/>
      </w:docPartPr>
      <w:docPartBody>
        <w:p w14:paraId="12D5AAC7">
          <w:pPr>
            <w:rPr>
              <w:rFonts w:hint="eastAsia"/>
            </w:rPr>
          </w:pPr>
          <w:r>
            <w:rPr>
              <w:rStyle w:val="4"/>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E78"/>
    <w:rsid w:val="00056ECC"/>
    <w:rsid w:val="0018081A"/>
    <w:rsid w:val="001C142E"/>
    <w:rsid w:val="007A51BF"/>
    <w:rsid w:val="0084317F"/>
    <w:rsid w:val="009D37F1"/>
    <w:rsid w:val="00C7578E"/>
    <w:rsid w:val="00E01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iPriority="99" w:semiHidden="0"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unhideWhenUsed/>
    <w:qFormat/>
    <w:uiPriority w:val="99"/>
    <w:rPr>
      <w:color w:val="666666"/>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Template.dotx</Template>
  <Pages>24</Pages>
  <Words>9413</Words>
  <Characters>10700</Characters>
  <Lines>263</Lines>
  <Paragraphs>313</Paragraphs>
  <TotalTime>8</TotalTime>
  <ScaleCrop>false</ScaleCrop>
  <LinksUpToDate>false</LinksUpToDate>
  <CharactersWithSpaces>11041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2025-06-16T01:01:00Z</dcterms:created>
  <dc:creator>植满溪</dc:creator>
  <cp:lastModifiedBy>中科嘉鸿</cp:lastModifiedBy>
  <dcterms:modified xsi:type="dcterms:W3CDTF">2025-06-19T07:35:43Z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A42D48D014324BB3B0397E7FFD88131D</vt:lpwstr>
  </property>
  <property fmtid="{D5CDD505-2E9C-101B-9397-08002B2CF9AE}" pid="4" name="KSOTemplateDocerSaveRecord">
    <vt:lpwstr>eyJoZGlkIjoiNjFlZDY3Y2NmY2IyOTlmYTk2MGY2NDExMjc3OGEyODAiLCJ1c2VySWQiOiIxNDcxOTY2NTY1In0=</vt:lpwstr>
  </property>
</Properties>
</file>