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63" w:beforeLines="50" w:line="480" w:lineRule="auto"/>
        <w:jc w:val="center"/>
        <w:rPr>
          <w:rFonts w:ascii="黑体" w:hAnsi="宋体" w:eastAsia="黑体" w:cs="黑体"/>
          <w:sz w:val="36"/>
          <w:szCs w:val="36"/>
          <w:lang w:eastAsia="zh-CN"/>
        </w:rPr>
      </w:pPr>
      <w:r>
        <w:rPr>
          <w:rFonts w:hint="eastAsia" w:ascii="黑体" w:hAnsi="宋体" w:eastAsia="黑体" w:cs="黑体"/>
          <w:sz w:val="36"/>
          <w:szCs w:val="36"/>
          <w:lang w:eastAsia="zh-CN"/>
        </w:rPr>
        <w:t>佛山市佛山标准和卓越绩效管理促进会</w:t>
      </w:r>
    </w:p>
    <w:p>
      <w:pPr>
        <w:widowControl/>
        <w:spacing w:before="163" w:beforeLines="50" w:line="480" w:lineRule="auto"/>
        <w:jc w:val="center"/>
        <w:rPr>
          <w:rFonts w:ascii="黑体" w:hAnsi="宋体" w:eastAsia="黑体" w:cs="黑体"/>
          <w:sz w:val="36"/>
          <w:szCs w:val="36"/>
          <w:lang w:eastAsia="zh-CN"/>
        </w:rPr>
      </w:pPr>
      <w:r>
        <w:rPr>
          <w:rFonts w:hint="eastAsia" w:ascii="黑体" w:hAnsi="宋体" w:eastAsia="黑体" w:cs="黑体"/>
          <w:sz w:val="36"/>
          <w:szCs w:val="36"/>
          <w:lang w:eastAsia="zh-CN"/>
        </w:rPr>
        <w:t>《佛山标准</w:t>
      </w:r>
      <w:r>
        <w:rPr>
          <w:rFonts w:hint="eastAsia" w:ascii="黑体" w:hAnsi="宋体" w:eastAsia="黑体" w:cs="黑体"/>
          <w:sz w:val="36"/>
          <w:szCs w:val="36"/>
          <w:lang w:val="en-US" w:eastAsia="zh-CN"/>
        </w:rPr>
        <w:t xml:space="preserve"> 豆豉鲮鱼罐头</w:t>
      </w:r>
      <w:r>
        <w:rPr>
          <w:rFonts w:hint="eastAsia" w:ascii="黑体" w:hAnsi="宋体" w:eastAsia="黑体" w:cs="黑体"/>
          <w:sz w:val="36"/>
          <w:szCs w:val="36"/>
          <w:lang w:eastAsia="zh-CN"/>
        </w:rPr>
        <w:t>》团体标准编制说明</w:t>
      </w:r>
    </w:p>
    <w:p>
      <w:pPr>
        <w:widowControl/>
        <w:spacing w:line="720" w:lineRule="auto"/>
        <w:rPr>
          <w:sz w:val="28"/>
          <w:szCs w:val="28"/>
          <w:lang w:eastAsia="zh-CN"/>
        </w:rPr>
      </w:pPr>
      <w:r>
        <w:rPr>
          <w:rFonts w:ascii="黑体" w:hAnsi="宋体" w:eastAsia="黑体" w:cs="黑体"/>
          <w:sz w:val="28"/>
          <w:szCs w:val="28"/>
          <w:lang w:eastAsia="zh-CN"/>
        </w:rPr>
        <w:t>1 项目背景</w:t>
      </w:r>
    </w:p>
    <w:p>
      <w:pPr>
        <w:widowControl/>
        <w:numPr>
          <w:ilvl w:val="1"/>
          <w:numId w:val="7"/>
        </w:numPr>
        <w:spacing w:line="720" w:lineRule="auto"/>
        <w:rPr>
          <w:rFonts w:hint="eastAsia" w:ascii="黑体" w:hAnsi="宋体" w:eastAsia="黑体" w:cs="黑体"/>
          <w:sz w:val="28"/>
          <w:szCs w:val="28"/>
          <w:lang w:eastAsia="zh-CN"/>
        </w:rPr>
      </w:pPr>
      <w:r>
        <w:rPr>
          <w:rFonts w:hint="eastAsia" w:ascii="黑体" w:hAnsi="宋体" w:eastAsia="黑体" w:cs="黑体"/>
          <w:sz w:val="28"/>
          <w:szCs w:val="28"/>
          <w:lang w:eastAsia="zh-CN"/>
        </w:rPr>
        <w:t xml:space="preserve"> 产业背景</w:t>
      </w:r>
    </w:p>
    <w:p>
      <w:pPr>
        <w:spacing w:line="360" w:lineRule="auto"/>
        <w:ind w:firstLine="560" w:firstLineChars="200"/>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鱼罐头是以新鲜或冷冻的鱼为原料，经加工处理、装罐、加入调味料、密封、杀菌等加工过程制成的即食罐头产品。按照加工方法的不同，鱼罐头分为红烧、茄汁、鲜炸、清蒸、烟熏、油浸、水浸等类别。鱼肉的营养丰富，不仅因为其中的蛋白质含量高，容易消化，含有B族维生素和钙、锌、硒、碘等矿物质，更因为其中的脂肪富含欧咪伽3脂肪酸，对预防心脑血管疾病和促进智力发育有益，也是鱼罐头市场得以稳定发展的决定因素。</w:t>
      </w:r>
    </w:p>
    <w:p>
      <w:pPr>
        <w:spacing w:line="360" w:lineRule="auto"/>
        <w:ind w:firstLine="560" w:firstLineChars="200"/>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自从鱼罐头问世以来，市场消费需求旺盛，渔民对金枪鱼和沙丁鱼的捕鱼量也随之持续增加，过度捕捞形势严峻，在一定程度上破坏了海洋生物多样性中心的生态平衡。在此背景下，促进人工养殖技术的进步是全球金枪鱼和沙丁鱼及相关加工产业发展的主要手段之一。就目前来看，意大利已经发展成为欧洲地区金枪鱼和沙丁鱼罐头行业的最大营收市场，人工养殖技术的应用将会在很大程度上推动其市场发展。尼尔森数据显示，2020年，美国肉类、鹰嘴豆、鱼罐头的销量同比增长了31.8%、25.6%、24.9%</w:t>
      </w:r>
      <w:r>
        <w:rPr>
          <w:rFonts w:hint="eastAsia" w:ascii="仿宋" w:hAnsi="仿宋" w:eastAsia="仿宋" w:cs="仿宋"/>
          <w:color w:val="000000" w:themeColor="text1"/>
          <w:sz w:val="28"/>
          <w:szCs w:val="28"/>
          <w:lang w:val="en-US" w:eastAsia="zh-CN"/>
        </w:rPr>
        <w:t xml:space="preserve">; </w:t>
      </w:r>
      <w:r>
        <w:rPr>
          <w:rFonts w:hint="eastAsia" w:ascii="仿宋" w:hAnsi="仿宋" w:eastAsia="仿宋" w:cs="仿宋"/>
          <w:color w:val="000000" w:themeColor="text1"/>
          <w:sz w:val="28"/>
          <w:szCs w:val="28"/>
          <w:lang w:eastAsia="zh-CN"/>
        </w:rPr>
        <w:t>德国罐装蔬菜的销售量大涨80%，水果罐头也涨了70%。</w:t>
      </w:r>
    </w:p>
    <w:p>
      <w:pPr>
        <w:spacing w:line="360" w:lineRule="auto"/>
        <w:ind w:firstLine="560" w:firstLineChars="200"/>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val="en-US" w:eastAsia="zh-CN"/>
        </w:rPr>
        <w:t>与此同时，一些国际深加工食品巨头开始进入中国罐头食品市场。早在2016年底，SPAM午餐肉所属的美国深加工食品巨头荷美尔，斥资1.1亿美元在嘉兴投建的工厂已经开始生产，其产品在线上线下均有销售。而丹麦历史最悠久的品牌郁金香也在2017年获得许可后，将午餐肉罐头、香肠、萨拉米等三类产品带到中国，并于2018年正式进军中国市场。</w:t>
      </w:r>
    </w:p>
    <w:p>
      <w:pPr>
        <w:spacing w:line="360" w:lineRule="auto"/>
        <w:ind w:firstLine="560" w:firstLineChars="200"/>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在全球罐头消费前30名的城市中，中国有9座城市位列其中。中国9座城市的鱼罐头消费额占全球总消费额的7.6%，占前30名城市累计消费额的3成。其中上海市的鱼罐头消费额全球排名第三，仅低于美国的纽约和洛杉矶。目前我国鱼罐头主要出口至北美、欧洲和日本，随着中国经济的快速发展，中国在鱼罐头消费需求在不断增加，但与北美、欧洲和日本等国家相比差距较大。随着我国鱼捕捞业和鱼罐头产业的不断发展将进一步刺激我国鱼罐头的消费需求。</w:t>
      </w:r>
    </w:p>
    <w:p>
      <w:pPr>
        <w:spacing w:line="360" w:lineRule="auto"/>
        <w:ind w:firstLine="560" w:firstLineChars="200"/>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鱼罐头消费人群小众化。从消费用途来看，分为家庭消费，另一种是餐饮配菜使用。由于鱼罐头的消费比较边缘化，因此当前，鱼罐头的主要销售渠道仍然集中在流通、超市等少数几个传统的渠道，这就决定了其消费接触面比较窄。由于鱼罐头行业营销简单化，缺少互动沟通，其消费形式大多是简单地陈列在货架上，等待消费者自行寻找和选购。</w:t>
      </w:r>
      <w:r>
        <w:rPr>
          <w:rFonts w:hint="eastAsia" w:ascii="仿宋" w:hAnsi="仿宋" w:eastAsia="仿宋" w:cs="仿宋"/>
          <w:color w:val="000000" w:themeColor="text1"/>
          <w:sz w:val="28"/>
          <w:szCs w:val="28"/>
          <w:lang w:val="en-US" w:eastAsia="zh-CN"/>
        </w:rPr>
        <w:t>如今</w:t>
      </w:r>
      <w:r>
        <w:rPr>
          <w:rFonts w:hint="eastAsia" w:ascii="仿宋" w:hAnsi="仿宋" w:eastAsia="仿宋" w:cs="仿宋"/>
          <w:color w:val="000000" w:themeColor="text1"/>
          <w:sz w:val="28"/>
          <w:szCs w:val="28"/>
          <w:lang w:eastAsia="zh-CN"/>
        </w:rPr>
        <w:t>鱼罐头企业凭借对行业的深入了解，探索出了更多更好的营销方式，以顾客为中心提供给顾客更多便利，持续推动鱼罐头业产业升级,结构调整,促使其由劳动密集型转为技术密集型，通过提高产品附加值来获得更高的利益。</w:t>
      </w:r>
    </w:p>
    <w:p>
      <w:pPr>
        <w:spacing w:line="360" w:lineRule="auto"/>
        <w:ind w:firstLine="560" w:firstLineChars="200"/>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现代社会的工作、生活节奏越来越快，罐头作为方便即食产品，市场前景越来越被看好。2023年，中国罐头的销售规模突破3200亿元，鱼罐头约占</w:t>
      </w:r>
      <w:r>
        <w:rPr>
          <w:rFonts w:hint="eastAsia" w:ascii="仿宋" w:hAnsi="仿宋" w:eastAsia="仿宋" w:cs="仿宋"/>
          <w:color w:val="000000" w:themeColor="text1"/>
          <w:sz w:val="28"/>
          <w:szCs w:val="28"/>
          <w:lang w:val="en-US" w:eastAsia="zh-CN"/>
        </w:rPr>
        <w:t>15%</w:t>
      </w:r>
      <w:r>
        <w:rPr>
          <w:rFonts w:hint="eastAsia" w:ascii="仿宋" w:hAnsi="仿宋" w:eastAsia="仿宋" w:cs="仿宋"/>
          <w:color w:val="000000" w:themeColor="text1"/>
          <w:sz w:val="28"/>
          <w:szCs w:val="28"/>
          <w:lang w:eastAsia="zh-CN"/>
        </w:rPr>
        <w:t>，将鱼罐头与“营养、健康、时尚、潮流”结合，形成新的消费文化，也是提升国内市场食用量的关键。</w:t>
      </w:r>
    </w:p>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562" w:firstLineChars="200"/>
        <w:textAlignment w:val="auto"/>
        <w:rPr>
          <w:rFonts w:hint="eastAsia"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二、国内（豆豉）鲮鱼罐头产业情况</w:t>
      </w:r>
    </w:p>
    <w:p>
      <w:pPr>
        <w:spacing w:line="360" w:lineRule="auto"/>
        <w:ind w:firstLine="560"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据公开资料显示，中国的罐头产业崛起于20世纪80年代，由于当时的物质资源较为匮乏，人们有着长期储存食物的需求，再加上方便携带，罐头食品一度成为热门产品，品种大致可分为肉类、禽类、水产类、水果类、蔬菜类及其他。前瞻产业研究院相关报告指出，从2017年我国不同罐头产品销售收入结构来看，蔬菜罐头在我国最受欢迎，占行业总销售收入的50.55%；其次是水果罐头，占比为21.76%；肉、禽类罐头占比为14.38%；水产类和其他种类罐头占比均在10%以下。此外，我国罐头的外销也一直处于世界领先水平。数据显示，2017年全国罐头出口274.48万吨，出口金额46.6亿美元，同比增长1.3%；2018年1—7月，我国累计出口罐头140.3万吨，价值14.6亿美元，同比分别增长1.6%和9.8%，出口数量和金额均稳居世界领先。</w:t>
      </w:r>
    </w:p>
    <w:p>
      <w:pPr>
        <w:spacing w:line="360" w:lineRule="auto"/>
        <w:ind w:firstLine="560"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全国规模以上罐头食品厂超过900家，年产能千万吨左右，产品达上千种。国家统计局对规模以上665家罐头企业的统计数据显示，2021年我国罐头行业累计生产831.71万吨，全行业主营业务收入达到1173.47亿元。</w:t>
      </w:r>
    </w:p>
    <w:p>
      <w:pPr>
        <w:spacing w:line="360" w:lineRule="auto"/>
        <w:ind w:firstLine="560"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尽管从国际市场的表现来看，我国鱼罐头产业有着良好的发展势头，但在国内市场的总体发展态势却不太乐观，企业在品牌布局方面仍处于劣势，缺乏全国性的领导品牌，再加上鱼罐头行业属于传统食品加工业，对市场需求的变化缺乏敏感度，企业没有把握时机进行创新转型，造成产品的同质化严重。但是从主流电商平台的销售情况看，进口鱼罐头企业并未能占据绝对优势，消费者还是更倾向于购买国产品牌。在一些大型连锁商超里可以看到，货架上仍是国产鱼罐头占据主流，但仍能看到进口品牌的身影。</w:t>
      </w:r>
    </w:p>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hint="eastAsia" w:ascii="仿宋" w:hAnsi="仿宋" w:eastAsia="仿宋" w:cs="仿宋"/>
          <w:color w:val="FF0000"/>
          <w:sz w:val="28"/>
          <w:szCs w:val="28"/>
          <w:lang w:eastAsia="zh-CN"/>
        </w:rPr>
      </w:pPr>
    </w:p>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hint="eastAsia" w:ascii="仿宋" w:hAnsi="仿宋" w:eastAsia="仿宋" w:cs="仿宋"/>
          <w:color w:val="FF0000"/>
          <w:sz w:val="28"/>
          <w:szCs w:val="28"/>
          <w:lang w:eastAsia="zh-CN"/>
        </w:rPr>
      </w:pPr>
      <w:r>
        <w:rPr>
          <w:rFonts w:hint="eastAsia" w:ascii="仿宋" w:hAnsi="仿宋" w:eastAsia="仿宋" w:cs="仿宋"/>
          <w:color w:val="000000" w:themeColor="text1"/>
          <w:sz w:val="28"/>
          <w:szCs w:val="28"/>
          <w:lang w:val="en-US" w:eastAsia="zh-CN"/>
        </w:rPr>
        <w:t>中国鲮鱼罐头产量虽然全球第一，产品热销欧美市场，供应了全球1/4的鲮鱼罐头，疫情刺激了海外罐头市场的激增，出口量也持续增长。</w:t>
      </w:r>
    </w:p>
    <w:p>
      <w:pPr>
        <w:spacing w:line="360" w:lineRule="auto"/>
        <w:ind w:firstLine="562" w:firstLineChars="200"/>
        <w:rPr>
          <w:rFonts w:hint="eastAsia"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三、广东（佛山）豆豉鲮鱼罐头产业情况</w:t>
      </w:r>
    </w:p>
    <w:p>
      <w:pPr>
        <w:ind w:firstLine="560"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随着鱼罐头行业的发展，广东（佛山）的鱼罐头产业也得到了持续发发展，在全国的十大鱼罐头品牌中，</w:t>
      </w:r>
      <w:r>
        <w:rPr>
          <w:rFonts w:hint="default" w:ascii="仿宋" w:hAnsi="仿宋" w:eastAsia="仿宋" w:cs="仿宋"/>
          <w:color w:val="000000" w:themeColor="text1"/>
          <w:sz w:val="28"/>
          <w:szCs w:val="28"/>
          <w:lang w:val="en-US" w:eastAsia="zh-CN"/>
        </w:rPr>
        <w:t>甘竹牌、鹰金钱</w:t>
      </w:r>
      <w:r>
        <w:rPr>
          <w:rFonts w:hint="eastAsia" w:ascii="仿宋" w:hAnsi="仿宋" w:eastAsia="仿宋" w:cs="仿宋"/>
          <w:color w:val="000000" w:themeColor="text1"/>
          <w:sz w:val="28"/>
          <w:szCs w:val="28"/>
          <w:lang w:val="en-US" w:eastAsia="zh-CN"/>
        </w:rPr>
        <w:t>、</w:t>
      </w:r>
      <w:r>
        <w:rPr>
          <w:rFonts w:hint="default" w:ascii="仿宋" w:hAnsi="仿宋" w:eastAsia="仿宋" w:cs="仿宋"/>
          <w:color w:val="000000" w:themeColor="text1"/>
          <w:sz w:val="28"/>
          <w:szCs w:val="28"/>
          <w:lang w:val="en-US" w:eastAsia="zh-CN"/>
        </w:rPr>
        <w:t>鱼家香</w:t>
      </w:r>
      <w:r>
        <w:rPr>
          <w:rFonts w:hint="eastAsia" w:ascii="仿宋" w:hAnsi="仿宋" w:eastAsia="仿宋" w:cs="仿宋"/>
          <w:color w:val="000000" w:themeColor="text1"/>
          <w:sz w:val="28"/>
          <w:szCs w:val="28"/>
          <w:lang w:val="en-US" w:eastAsia="zh-CN"/>
        </w:rPr>
        <w:t>等雄居榜首，在2024年鲮鱼罐头品牌排行榜中，根据鲮鱼罐头品牌影响力、产品质量、品牌评价以及销量人气评选出最好的鲮鱼罐头品牌是珠江桥牌、甘竹牌、鹰金钱、粤花、鱼家香等，均广东省品牌，其中甘竹牌、粤花等为佛山产地品牌。</w:t>
      </w:r>
    </w:p>
    <w:p>
      <w:pPr>
        <w:ind w:firstLine="560"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这些广东（佛山）品牌鲮鱼罐头都具有一定生产历史，配方固定，口味独特，别具特色，且质量稳定，深受消费者喜爱，故占据在国内外60%以上份额，且发展势头良好。</w:t>
      </w:r>
    </w:p>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562" w:firstLineChars="200"/>
        <w:textAlignment w:val="auto"/>
        <w:rPr>
          <w:rFonts w:hint="eastAsia"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三、豆豉鲮鱼罐头技术发展趋势</w:t>
      </w:r>
    </w:p>
    <w:p>
      <w:pPr>
        <w:spacing w:line="360" w:lineRule="auto"/>
        <w:ind w:firstLine="560" w:firstLineChars="200"/>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2022年中国水产品消费总量达到4.6亿吨，其中淡水养殖产量2.2亿吨，海水养殖产量2.0亿吨。在消费升级和消费者对健康饮食需求的推动下，我国水产品加工业不断发展壮大。近几年罐头食品在餐饮业发挥了积极作用，不仅简化了厨房操作工序，而且有利于降低生产成本。例如以午餐肉为代表的肉类罐头，在火锅等餐饮消费提升的带动下，产销量逐年增长;西餐的普及则带动了蘑菇、芦笋、番茄酱、金枪鱼等罐头产品的销量。</w:t>
      </w:r>
    </w:p>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color w:val="000000" w:themeColor="text1"/>
          <w:sz w:val="28"/>
          <w:szCs w:val="28"/>
          <w:lang w:eastAsia="zh-CN"/>
        </w:rPr>
        <w:t>作为鱼罐头中的鲮鱼罐头，随着科技的进步，鲮鱼罐头发展迅速，细分出多种加工方法，比如红烧、茄汁、鲜炸、清蒸、烟熏、油浸、水浸等。鲮鱼肉罐头可以拿来炒蔬菜，成为肉的替代品，尤其是豆豉鲮鱼罐头，在消费者中尤为受到青睐。</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2</w:t>
      </w:r>
      <w:r>
        <w:rPr>
          <w:rFonts w:hint="eastAsia" w:ascii="黑体" w:hAnsi="宋体" w:eastAsia="黑体" w:cs="黑体"/>
          <w:sz w:val="28"/>
          <w:szCs w:val="28"/>
          <w:lang w:eastAsia="zh-CN"/>
        </w:rPr>
        <w:t xml:space="preserve">  提升方向</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通过打造佛山标准，树立优质区域品牌形象，有助于进一步做大做强产业。进一步提高豆豉鲮鱼罐头的产品质量，引导行业有序、健康发展，树立和提升区域品牌形象。团体标准的提升方向具体如下： </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满足消费者需求。随着产品品质的提高，用户不仅看重豆豉鲮鱼罐头的食用功能，还更关注豆豉鲮鱼罐头的食品安全性、感官质量、过程加工卫生质量等，本标准编制过程充分考虑了消费者的需求及提出的意见和建议。</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符合政策要求。当前政策对于食品安全、加工卫生、绿色产品的要求不断提高，豆豉鲮鱼罐头产品应注重安全、卫生和绿色产品，符合政策导向和要求。本标准对豆豉鲮鱼罐头产品的原辅材料、感官、理化性能、净含量、食品安全、生产加工过程卫生等指标进行了考核。</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适应产品发展需要</w:t>
      </w:r>
      <w:r>
        <w:rPr>
          <w:rFonts w:ascii="仿宋" w:hAnsi="仿宋" w:eastAsia="仿宋" w:cs="仿宋"/>
          <w:sz w:val="28"/>
          <w:szCs w:val="28"/>
          <w:lang w:eastAsia="zh-CN"/>
        </w:rPr>
        <w:t>。</w:t>
      </w:r>
      <w:r>
        <w:rPr>
          <w:rFonts w:hint="eastAsia" w:ascii="仿宋" w:hAnsi="仿宋" w:eastAsia="仿宋" w:cs="仿宋"/>
          <w:sz w:val="28"/>
          <w:szCs w:val="28"/>
          <w:lang w:eastAsia="zh-CN"/>
        </w:rPr>
        <w:t>豆豉鲮鱼罐头属于成熟且受市场欢迎的食品，市场竞争激烈。为保证佛山地区豆豉鲮鱼罐头产品的竞争优势，更好地扩大影响力，抢占国内外市场份额，需要打造更高水平的标准，比现有国家、行业标准的要求更高，把安全、优质的高端豆豉鲮鱼罐头行业做好做强。</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3</w:t>
      </w:r>
      <w:r>
        <w:rPr>
          <w:rFonts w:hint="eastAsia" w:ascii="黑体" w:hAnsi="宋体" w:eastAsia="黑体" w:cs="黑体"/>
          <w:sz w:val="28"/>
          <w:szCs w:val="28"/>
          <w:lang w:eastAsia="zh-CN"/>
        </w:rPr>
        <w:t xml:space="preserve">  项目意义</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为更好地发展佛山市重点产业、优势产品，本标准根据佛山标准要求，定位于“国内领先、国际先进”的水平，充分考虑行业发展情况，使标准编制更趋于合理、科学、先进。满足当前消费者对豆豉鲮鱼罐头的要求，提高产品国内外场竞争力，对行业健康、快速发展有促进和引领作用。执行本标准有助于提升产品质量水平，扩大品牌影响力，提高企业竞争力，带动和引领佛山市制造业向高水平领域发展，以实现我市产品质量水平明显提升，推动佛山品牌、佛山产品更好地走出去。</w:t>
      </w:r>
    </w:p>
    <w:p>
      <w:pPr>
        <w:widowControl/>
        <w:spacing w:line="720" w:lineRule="auto"/>
        <w:rPr>
          <w:sz w:val="28"/>
          <w:szCs w:val="28"/>
          <w:lang w:eastAsia="zh-CN"/>
        </w:rPr>
      </w:pPr>
      <w:r>
        <w:rPr>
          <w:rFonts w:hint="eastAsia" w:ascii="黑体" w:hAnsi="宋体" w:eastAsia="黑体" w:cs="黑体"/>
          <w:sz w:val="28"/>
          <w:szCs w:val="28"/>
          <w:lang w:eastAsia="zh-CN"/>
        </w:rPr>
        <w:t>2    标准制定工作概况</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2.1  准备工作</w:t>
      </w:r>
    </w:p>
    <w:p>
      <w:pPr>
        <w:widowControl/>
        <w:spacing w:line="360" w:lineRule="auto"/>
        <w:ind w:firstLine="560" w:firstLineChars="200"/>
        <w:jc w:val="both"/>
        <w:rPr>
          <w:rFonts w:ascii="仿宋" w:hAnsi="仿宋" w:eastAsia="仿宋" w:cs="仿宋"/>
          <w:sz w:val="28"/>
          <w:szCs w:val="28"/>
          <w:lang w:eastAsia="zh-CN"/>
        </w:rPr>
      </w:pPr>
      <w:bookmarkStart w:id="0" w:name="_Hlk130890499"/>
      <w:bookmarkStart w:id="1" w:name="_Hlk130890723"/>
      <w:r>
        <w:rPr>
          <w:rFonts w:hint="eastAsia" w:ascii="仿宋" w:hAnsi="仿宋" w:eastAsia="仿宋" w:cs="仿宋"/>
          <w:sz w:val="28"/>
          <w:szCs w:val="28"/>
          <w:lang w:eastAsia="zh-CN"/>
        </w:rPr>
        <w:t>根据佛山市市场监督管理局对佛山标准推进工作的计划和时间要求，在佛山市佛山标准与卓越绩效管理促进会的指导和管理下，为更好地开展编制工作，市区、镇等相关部门及佛山市顺德区质量技术监督标准与编码所到访主要豆豉鲮鱼罐头企业（如广东甘竹罐头公司、广东粤花罐头公司等）进行调研，并随之召开标准起草讨论会，成立了标准工作组。</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广东甘竹罐头公司、广东粤花罐头公司、佛山市顺德区质量技术监督标准与编码所主要</w:t>
      </w:r>
      <w:r>
        <w:rPr>
          <w:rFonts w:ascii="仿宋" w:hAnsi="仿宋" w:eastAsia="仿宋" w:cs="仿宋"/>
          <w:sz w:val="28"/>
          <w:szCs w:val="28"/>
          <w:lang w:eastAsia="zh-CN"/>
        </w:rPr>
        <w:t>负责</w:t>
      </w:r>
      <w:r>
        <w:rPr>
          <w:rFonts w:hint="eastAsia" w:ascii="仿宋" w:hAnsi="仿宋" w:eastAsia="仿宋" w:cs="仿宋"/>
          <w:sz w:val="28"/>
          <w:szCs w:val="28"/>
          <w:lang w:eastAsia="zh-CN"/>
        </w:rPr>
        <w:t>确定标准研制对应的产品类别，针对产品技术发展情况和消费者关心问题明确关键指标，</w:t>
      </w:r>
      <w:r>
        <w:rPr>
          <w:rFonts w:ascii="仿宋" w:hAnsi="仿宋" w:eastAsia="仿宋" w:cs="仿宋"/>
          <w:sz w:val="28"/>
          <w:szCs w:val="28"/>
          <w:lang w:eastAsia="zh-CN"/>
        </w:rPr>
        <w:t>收集企业现有产品技术性能参数，查阅国内外相关产品的技术文档、标准、专利，形成相关的标准集合。对比国内外等同类产品标准的有关条款，编制标准草案，组织</w:t>
      </w:r>
      <w:r>
        <w:rPr>
          <w:rFonts w:hint="eastAsia" w:ascii="仿宋" w:hAnsi="仿宋" w:eastAsia="仿宋" w:cs="仿宋"/>
          <w:sz w:val="28"/>
          <w:szCs w:val="28"/>
          <w:lang w:eastAsia="zh-CN"/>
        </w:rPr>
        <w:t>工作人员到企业现场核实验证指标，策划标准研讨、公开</w:t>
      </w:r>
      <w:r>
        <w:rPr>
          <w:rFonts w:ascii="仿宋" w:hAnsi="仿宋" w:eastAsia="仿宋" w:cs="仿宋"/>
          <w:sz w:val="28"/>
          <w:szCs w:val="28"/>
          <w:lang w:eastAsia="zh-CN"/>
        </w:rPr>
        <w:t>征求标准意见等</w:t>
      </w:r>
      <w:r>
        <w:rPr>
          <w:rFonts w:hint="eastAsia" w:ascii="仿宋" w:hAnsi="仿宋" w:eastAsia="仿宋" w:cs="仿宋"/>
          <w:sz w:val="28"/>
          <w:szCs w:val="28"/>
          <w:lang w:eastAsia="zh-CN"/>
        </w:rPr>
        <w:t>前期准备工作。并根据相关工作内容安排了工作计划，大致内容如下：</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1）</w:t>
      </w:r>
      <w:r>
        <w:rPr>
          <w:rFonts w:ascii="仿宋" w:hAnsi="仿宋" w:eastAsia="仿宋" w:cs="仿宋"/>
          <w:sz w:val="28"/>
          <w:szCs w:val="28"/>
          <w:lang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月调研与前期准备阶段：完成行业调研和相关标准、消费者关心焦点问题的收集整理，并组织到访广东甘竹罐头公司、广东粤花罐头公司；</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2）</w:t>
      </w:r>
      <w:r>
        <w:rPr>
          <w:rFonts w:ascii="仿宋" w:hAnsi="仿宋" w:eastAsia="仿宋" w:cs="仿宋"/>
          <w:sz w:val="28"/>
          <w:szCs w:val="28"/>
          <w:lang w:eastAsia="zh-CN"/>
        </w:rPr>
        <w:t>2024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月标准起草阶段：编写标准草案（工作组讨论稿）、编写标准编制说明；</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3）202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月研讨与征求意见阶段：组织标准讨论工作群及现场沟通，并征求工作组和行业协会、专家意见，完成标准送审稿及其他评审材料；</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4）202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月评审与发布阶段：组织召开标准评审会，根据专家意见，修改完善形成标准报批稿并发布。</w:t>
      </w:r>
      <w:bookmarkEnd w:id="0"/>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2.2  标准草案编制</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月启动标准草案研制工作，结合前期准备工作成果，征求起草单位意见，充分考虑佛山标准的编制要求、编制理念和定位要求等，体现了标准的先进性。具体说明如下：</w:t>
      </w:r>
    </w:p>
    <w:p>
      <w:pPr>
        <w:widowControl/>
        <w:numPr>
          <w:ilvl w:val="0"/>
          <w:numId w:val="8"/>
        </w:numPr>
        <w:spacing w:line="360" w:lineRule="auto"/>
        <w:ind w:firstLine="560" w:firstLineChars="200"/>
        <w:jc w:val="both"/>
        <w:rPr>
          <w:rFonts w:ascii="仿宋" w:hAnsi="仿宋" w:eastAsia="仿宋" w:cs="仿宋"/>
          <w:sz w:val="28"/>
          <w:szCs w:val="28"/>
          <w:lang w:eastAsia="zh-CN"/>
        </w:rPr>
      </w:pPr>
      <w:bookmarkStart w:id="2" w:name="_Hlk130891623"/>
      <w:r>
        <w:rPr>
          <w:rFonts w:hint="eastAsia" w:ascii="仿宋" w:hAnsi="仿宋" w:eastAsia="仿宋" w:cs="仿宋"/>
          <w:sz w:val="28"/>
          <w:szCs w:val="28"/>
          <w:lang w:eastAsia="zh-CN"/>
        </w:rPr>
        <w:t>优化基础指标，提升关键指标</w:t>
      </w:r>
      <w:bookmarkEnd w:id="2"/>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结合相关标准及信息收集、分析、比对，主要在国家相关标准的基础上，对感官、理化性能等指标进行提升，主要是为进一步保证产品质量稳定性。</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）新增指标</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结合消费者意见反馈、行业相关数据收集，在国家相关标准的基础上，新增了食品安全和生产加工过程卫生等指标，主要是为进一步体现产品的安全卫生性、绿色产品性。</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3</w:t>
      </w:r>
      <w:r>
        <w:rPr>
          <w:rFonts w:hint="eastAsia" w:ascii="仿宋" w:hAnsi="仿宋" w:eastAsia="仿宋" w:cs="仿宋"/>
          <w:sz w:val="28"/>
          <w:szCs w:val="28"/>
          <w:lang w:eastAsia="zh-CN"/>
        </w:rPr>
        <w:t>）规定试验方法</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参照相关国家标准、行业标准，规定了试验方法。</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2.3  标准草案研讨</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月组织了企业代表召开了线上线下标准讨论会、微信群内、电话讨论及企业现场讨论等方式，讨论主要内容如下：</w:t>
      </w:r>
    </w:p>
    <w:p>
      <w:pPr>
        <w:widowControl/>
        <w:numPr>
          <w:ilvl w:val="0"/>
          <w:numId w:val="9"/>
        </w:num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讨论了指标优化和提升的可行性</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针对标准草案中指标分类及提升哪几项关键指标等问题，企业代表一致认为可行，并逐一确认标准草案中提升的各个指标项。对于目前消费者关注的感官、理化性能等指标，企业代表结合最近几年的检测数据和经验积累，给出了专业性的调整建议。</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2</w:t>
      </w:r>
      <w:r>
        <w:rPr>
          <w:rFonts w:hint="eastAsia" w:ascii="仿宋" w:hAnsi="仿宋" w:eastAsia="仿宋" w:cs="仿宋"/>
          <w:sz w:val="28"/>
          <w:szCs w:val="28"/>
          <w:lang w:eastAsia="zh-CN"/>
        </w:rPr>
        <w:t>）讨论了指标新增的合理性</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针对标准草案中增加的食品安全、生产加工过程卫生等相关指标，确认符合产品趋势、国家产业政策要求及市场导向，属合理增加项。</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3）调整了部分试验方法</w:t>
      </w:r>
    </w:p>
    <w:p>
      <w:pPr>
        <w:widowControl/>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针对标准草案中的试验方法，提出了个别试验方法需要更新和调整，并对此给出了补充和修正的建议。</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2.4  征求意见情况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标准研讨会议后，对标准进行了修改，并于</w:t>
      </w:r>
      <w:r>
        <w:rPr>
          <w:rFonts w:hint="eastAsia" w:ascii="仿宋" w:hAnsi="仿宋" w:eastAsia="仿宋" w:cs="仿宋"/>
          <w:sz w:val="28"/>
          <w:szCs w:val="28"/>
          <w:lang w:val="en-US" w:eastAsia="zh-CN"/>
        </w:rPr>
        <w:t>2024年9月1日开始</w:t>
      </w:r>
      <w:r>
        <w:rPr>
          <w:rFonts w:hint="eastAsia" w:ascii="仿宋" w:hAnsi="仿宋" w:eastAsia="仿宋" w:cs="仿宋"/>
          <w:sz w:val="28"/>
          <w:szCs w:val="28"/>
          <w:lang w:eastAsia="zh-CN"/>
        </w:rPr>
        <w:t>在佛山标准公共平台及团体标准公共服务平台进行公开征求意见。征求意见过程中未收到意见。</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2.5  重大分岐情况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无</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2.6  专家评审情况</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于2</w:t>
      </w:r>
      <w:r>
        <w:rPr>
          <w:rFonts w:ascii="仿宋" w:hAnsi="仿宋" w:eastAsia="仿宋" w:cs="仿宋"/>
          <w:sz w:val="28"/>
          <w:szCs w:val="28"/>
          <w:lang w:eastAsia="zh-CN"/>
        </w:rPr>
        <w:t>024</w:t>
      </w:r>
      <w:r>
        <w:rPr>
          <w:rFonts w:hint="eastAsia" w:ascii="仿宋" w:hAnsi="仿宋" w:eastAsia="仿宋" w:cs="仿宋"/>
          <w:sz w:val="28"/>
          <w:szCs w:val="28"/>
          <w:lang w:eastAsia="zh-CN"/>
        </w:rPr>
        <w:t>年</w:t>
      </w:r>
      <w:r>
        <w:rPr>
          <w:rFonts w:hint="default" w:ascii="仿宋" w:hAnsi="仿宋" w:eastAsia="仿宋" w:cs="仿宋"/>
          <w:sz w:val="28"/>
          <w:szCs w:val="28"/>
          <w:lang w:val="en-US" w:eastAsia="zh-CN"/>
        </w:rPr>
        <w:t>XX</w:t>
      </w:r>
      <w:r>
        <w:rPr>
          <w:rFonts w:hint="eastAsia" w:ascii="仿宋" w:hAnsi="仿宋" w:eastAsia="仿宋" w:cs="仿宋"/>
          <w:sz w:val="28"/>
          <w:szCs w:val="28"/>
          <w:lang w:eastAsia="zh-CN"/>
        </w:rPr>
        <w:t>月</w:t>
      </w:r>
      <w:r>
        <w:rPr>
          <w:rFonts w:hint="default" w:ascii="仿宋" w:hAnsi="仿宋" w:eastAsia="仿宋" w:cs="仿宋"/>
          <w:sz w:val="28"/>
          <w:szCs w:val="28"/>
          <w:lang w:val="en-US" w:eastAsia="zh-CN"/>
        </w:rPr>
        <w:t>XX</w:t>
      </w:r>
      <w:r>
        <w:rPr>
          <w:rFonts w:hint="eastAsia" w:ascii="仿宋" w:hAnsi="仿宋" w:eastAsia="仿宋" w:cs="仿宋"/>
          <w:sz w:val="28"/>
          <w:szCs w:val="28"/>
          <w:lang w:eastAsia="zh-CN"/>
        </w:rPr>
        <w:t>日，佛山市佛山标准与卓越绩效管理促进会组织专家召开了标准定会，专家组听取了编制组的汇报，审阅了相关资料，对标准文本进行了认真、细致和充分的讨论。最后，专家组认为该标准达到国内领先水平，</w:t>
      </w:r>
      <w:r>
        <w:rPr>
          <w:rFonts w:ascii="仿宋" w:hAnsi="仿宋" w:eastAsia="仿宋" w:cs="仿宋"/>
          <w:sz w:val="28"/>
          <w:szCs w:val="28"/>
          <w:lang w:eastAsia="zh-CN"/>
        </w:rPr>
        <w:t>一致</w:t>
      </w:r>
      <w:r>
        <w:rPr>
          <w:rFonts w:hint="eastAsia" w:ascii="仿宋" w:hAnsi="仿宋" w:eastAsia="仿宋" w:cs="仿宋"/>
          <w:sz w:val="28"/>
          <w:szCs w:val="28"/>
          <w:lang w:eastAsia="zh-CN"/>
        </w:rPr>
        <w:t>同意标准</w:t>
      </w:r>
      <w:r>
        <w:rPr>
          <w:rFonts w:ascii="仿宋" w:hAnsi="仿宋" w:eastAsia="仿宋" w:cs="仿宋"/>
          <w:sz w:val="28"/>
          <w:szCs w:val="28"/>
          <w:lang w:eastAsia="zh-CN"/>
        </w:rPr>
        <w:t>通过</w:t>
      </w:r>
      <w:r>
        <w:rPr>
          <w:rFonts w:hint="eastAsia" w:ascii="仿宋" w:hAnsi="仿宋" w:eastAsia="仿宋" w:cs="仿宋"/>
          <w:sz w:val="28"/>
          <w:szCs w:val="28"/>
          <w:lang w:eastAsia="zh-CN"/>
        </w:rPr>
        <w:t>审定。</w:t>
      </w:r>
    </w:p>
    <w:bookmarkEnd w:id="1"/>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  标准编制原则、主要内容及确定依据</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3.1  编制原则</w:t>
      </w:r>
    </w:p>
    <w:p>
      <w:pPr>
        <w:widowControl/>
        <w:spacing w:line="360" w:lineRule="auto"/>
        <w:ind w:firstLine="560" w:firstLineChars="200"/>
        <w:jc w:val="both"/>
        <w:rPr>
          <w:rFonts w:ascii="仿宋" w:hAnsi="仿宋" w:eastAsia="仿宋" w:cs="仿宋"/>
          <w:sz w:val="28"/>
          <w:szCs w:val="28"/>
          <w:lang w:eastAsia="zh-CN"/>
        </w:rPr>
      </w:pPr>
      <w:r>
        <w:rPr>
          <w:rFonts w:ascii="仿宋" w:hAnsi="仿宋" w:eastAsia="仿宋" w:cs="仿宋"/>
          <w:sz w:val="28"/>
          <w:szCs w:val="28"/>
          <w:lang w:eastAsia="zh-CN"/>
        </w:rPr>
        <w:t>标准编制遵循</w:t>
      </w:r>
      <w:r>
        <w:rPr>
          <w:rFonts w:hint="eastAsia" w:ascii="仿宋" w:hAnsi="仿宋" w:eastAsia="仿宋" w:cs="仿宋"/>
          <w:sz w:val="28"/>
          <w:szCs w:val="28"/>
          <w:lang w:eastAsia="zh-CN"/>
        </w:rPr>
        <w:t>合规性、科学性、先进性、适用性并协调一致</w:t>
      </w:r>
      <w:r>
        <w:rPr>
          <w:rFonts w:ascii="仿宋" w:hAnsi="仿宋" w:eastAsia="仿宋" w:cs="仿宋"/>
          <w:sz w:val="28"/>
          <w:szCs w:val="28"/>
          <w:lang w:eastAsia="zh-CN"/>
        </w:rPr>
        <w:t>的原则，尽可能与国际通行标准接轨，注重标准的可操作性，本标准严格按照GB/T 1.1-2020《标准化工作导则 第1部分：标准化文件的结构和起草规则》的规定进行编写和表述。</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3.2  主要参考依据</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317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白砂糖</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GB/T 1535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大豆油</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2733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食品安全国家标准</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鲜、冻动物性水产品</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 5009.16  食品安全国家标准 食品中锡的测定</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 5009.33  食品安全国家标准 食品中亚硝酸盐与硝酸盐的测定</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 5009.44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食品安全国家标准食品中氯化物的测定</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GB/T 5461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食用盐</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 7098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食品安全国家标准 罐头食品</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GB/T 8967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谷氨酸钠(味精)</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GB/T 10786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罐头食品的检验方法</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 14881  食品安全国家标准 食品生产通用卫生规范</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GB/T 15680  棕榈油</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GB/T 15691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香辛料调味品通用技术条件</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GB/T 18186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酿造酱油</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w:t>
      </w:r>
      <w:r>
        <w:rPr>
          <w:rFonts w:hint="default" w:ascii="仿宋" w:hAnsi="仿宋" w:eastAsia="仿宋" w:cs="仿宋"/>
          <w:sz w:val="24"/>
          <w:szCs w:val="24"/>
          <w:lang w:val="en-US" w:eastAsia="zh-CN"/>
        </w:rPr>
        <w:t>/</w:t>
      </w:r>
      <w:r>
        <w:rPr>
          <w:rFonts w:hint="eastAsia" w:ascii="仿宋" w:hAnsi="仿宋" w:eastAsia="仿宋" w:cs="仿宋"/>
          <w:sz w:val="24"/>
          <w:szCs w:val="24"/>
          <w:lang w:eastAsia="zh-CN"/>
        </w:rPr>
        <w:t xml:space="preserve">T 24402-2021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鲮鱼罐头质量通则</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GB/T 42464  豆豉质量通则</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QB/T 1006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罐头食品检验规则</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QB/T 4631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罐头食品包装、标志、运输和贮存</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JJF1070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定量包装商品净含量计量检验规则</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SC/T 3015  水产品中土霉素、四环素、金霉素残留量的测定</w:t>
      </w:r>
    </w:p>
    <w:p>
      <w:pPr>
        <w:widowControl/>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国家质量监督检验检疫总局令（2005）第75号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定量包装商品计量监督管理办法</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  标准主要内容</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4.1  范围</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本文件规定了</w:t>
      </w:r>
      <w:r>
        <w:rPr>
          <w:rFonts w:hint="eastAsia" w:ascii="仿宋" w:hAnsi="仿宋" w:eastAsia="仿宋" w:cs="仿宋"/>
          <w:sz w:val="28"/>
          <w:szCs w:val="28"/>
          <w:lang w:val="en-US" w:eastAsia="zh-CN"/>
        </w:rPr>
        <w:t>豆豉鲮鱼罐头</w:t>
      </w:r>
      <w:r>
        <w:rPr>
          <w:rFonts w:hint="eastAsia" w:ascii="仿宋" w:hAnsi="仿宋" w:eastAsia="仿宋" w:cs="仿宋"/>
          <w:sz w:val="28"/>
          <w:szCs w:val="28"/>
          <w:lang w:eastAsia="zh-CN"/>
        </w:rPr>
        <w:t>的产品分类及代号、技术要求、试验方法、检验规则、标志、包装、运输、贮存及质量承诺。</w:t>
      </w:r>
    </w:p>
    <w:p>
      <w:pPr>
        <w:widowControl/>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本文件适用于以鲜(冻)鲮鱼为主要原料和以豆豉为主要辅料制成的罐头食品。</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4.2  要求</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本标准包括了三部分，第一部分是基础性指标，是产品基本属性指标；第二部分是关键性指标，是消费者和企业都关注、体现产品竞争力的技术指标，指标提升，用户满意度会明显提升；第三部分是新增指标，新增指标是在行业标准的基础上，根据目前其他相关国行标准的最新要求和体现企业技术创新，指标确立，用户满意度显著提升。</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本标准的基础性指标，包括了</w:t>
      </w:r>
      <w:r>
        <w:rPr>
          <w:rFonts w:hint="eastAsia" w:ascii="仿宋" w:hAnsi="仿宋" w:eastAsia="仿宋" w:cs="仿宋"/>
          <w:sz w:val="28"/>
          <w:szCs w:val="28"/>
          <w:lang w:val="zh-CN" w:eastAsia="zh-CN"/>
        </w:rPr>
        <w:t>原辅材料、净含量</w:t>
      </w:r>
      <w:r>
        <w:rPr>
          <w:rFonts w:hint="eastAsia" w:ascii="仿宋" w:hAnsi="仿宋" w:eastAsia="仿宋" w:cs="仿宋"/>
          <w:sz w:val="28"/>
          <w:szCs w:val="28"/>
          <w:lang w:eastAsia="zh-CN"/>
        </w:rPr>
        <w:t>等指标；关键性指标，包括了</w:t>
      </w:r>
      <w:r>
        <w:rPr>
          <w:rFonts w:hint="eastAsia" w:ascii="仿宋" w:hAnsi="仿宋" w:eastAsia="仿宋" w:cs="仿宋"/>
          <w:sz w:val="28"/>
          <w:szCs w:val="28"/>
          <w:lang w:val="en-US" w:eastAsia="zh-CN"/>
        </w:rPr>
        <w:t>感官、理化性能</w:t>
      </w:r>
      <w:r>
        <w:rPr>
          <w:rFonts w:hint="eastAsia" w:ascii="仿宋" w:hAnsi="仿宋" w:eastAsia="仿宋" w:cs="仿宋"/>
          <w:sz w:val="28"/>
          <w:szCs w:val="28"/>
          <w:lang w:eastAsia="zh-CN"/>
        </w:rPr>
        <w:t>等指标；新增指标</w:t>
      </w:r>
      <w:r>
        <w:rPr>
          <w:rFonts w:hint="eastAsia" w:ascii="仿宋" w:hAnsi="仿宋" w:eastAsia="仿宋" w:cs="仿宋"/>
          <w:sz w:val="28"/>
          <w:szCs w:val="28"/>
          <w:lang w:val="zh-CN" w:eastAsia="zh-CN"/>
        </w:rPr>
        <w:t>，包括食品安全、生产加工过程卫生</w:t>
      </w:r>
      <w:r>
        <w:rPr>
          <w:rFonts w:hint="eastAsia" w:ascii="仿宋" w:hAnsi="仿宋" w:eastAsia="仿宋" w:cs="仿宋"/>
          <w:sz w:val="28"/>
          <w:szCs w:val="28"/>
          <w:lang w:eastAsia="zh-CN"/>
        </w:rPr>
        <w:t>等指标。</w:t>
      </w:r>
    </w:p>
    <w:p>
      <w:pPr>
        <w:autoSpaceDE/>
        <w:autoSpaceDN/>
        <w:spacing w:after="120" w:line="360" w:lineRule="auto"/>
        <w:ind w:firstLine="562" w:firstLineChars="200"/>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标准指标比对表</w:t>
      </w:r>
    </w:p>
    <w:tbl>
      <w:tblPr>
        <w:tblStyle w:val="11"/>
        <w:tblW w:w="47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86"/>
        <w:gridCol w:w="1155"/>
        <w:gridCol w:w="495"/>
        <w:gridCol w:w="622"/>
        <w:gridCol w:w="930"/>
        <w:gridCol w:w="1285"/>
        <w:gridCol w:w="620"/>
        <w:gridCol w:w="503"/>
        <w:gridCol w:w="1822"/>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blHeader/>
          <w:jc w:val="center"/>
        </w:trPr>
        <w:tc>
          <w:tcPr>
            <w:tcW w:w="313" w:type="pct"/>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eastAsia="zh-CN"/>
              </w:rPr>
            </w:pPr>
            <w:r>
              <w:rPr>
                <w:rFonts w:hint="eastAsia" w:ascii="宋体" w:hAnsi="宋体" w:eastAsia="宋体" w:cs="宋体"/>
                <w:spacing w:val="0"/>
                <w:sz w:val="18"/>
                <w:szCs w:val="18"/>
                <w:shd w:val="clear" w:color="auto" w:fill="auto"/>
                <w:lang w:eastAsia="zh-CN"/>
              </w:rPr>
              <w:t>指标</w:t>
            </w:r>
          </w:p>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eastAsia="zh-CN"/>
              </w:rPr>
            </w:pPr>
            <w:r>
              <w:rPr>
                <w:rFonts w:hint="eastAsia" w:ascii="宋体" w:hAnsi="宋体" w:eastAsia="宋体" w:cs="宋体"/>
                <w:spacing w:val="0"/>
                <w:sz w:val="18"/>
                <w:szCs w:val="18"/>
                <w:shd w:val="clear" w:color="auto" w:fill="auto"/>
                <w:lang w:eastAsia="zh-CN"/>
              </w:rPr>
              <w:t>类型</w:t>
            </w:r>
          </w:p>
        </w:tc>
        <w:tc>
          <w:tcPr>
            <w:tcW w:w="618" w:type="pct"/>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rPr>
            </w:pPr>
            <w:r>
              <w:rPr>
                <w:rFonts w:hint="eastAsia" w:ascii="宋体" w:hAnsi="宋体" w:eastAsia="宋体" w:cs="宋体"/>
                <w:spacing w:val="0"/>
                <w:sz w:val="18"/>
                <w:szCs w:val="18"/>
                <w:shd w:val="clear" w:color="auto" w:fill="auto"/>
                <w:lang w:val="zh-CN"/>
              </w:rPr>
              <w:t>指标项目</w:t>
            </w:r>
          </w:p>
        </w:tc>
        <w:tc>
          <w:tcPr>
            <w:tcW w:w="1784" w:type="pct"/>
            <w:gridSpan w:val="4"/>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r>
              <w:rPr>
                <w:rFonts w:hint="eastAsia" w:ascii="宋体" w:hAnsi="宋体" w:eastAsia="宋体" w:cs="宋体"/>
                <w:spacing w:val="0"/>
                <w:sz w:val="18"/>
                <w:szCs w:val="18"/>
                <w:shd w:val="clear" w:color="auto" w:fill="auto"/>
                <w:lang w:eastAsia="zh-CN"/>
              </w:rPr>
              <w:t>佛山</w:t>
            </w:r>
            <w:r>
              <w:rPr>
                <w:rFonts w:hint="eastAsia" w:ascii="宋体" w:hAnsi="宋体" w:eastAsia="宋体" w:cs="宋体"/>
                <w:spacing w:val="0"/>
                <w:sz w:val="18"/>
                <w:szCs w:val="18"/>
                <w:shd w:val="clear" w:color="auto" w:fill="auto"/>
                <w:lang w:val="zh-CN" w:eastAsia="zh-CN"/>
              </w:rPr>
              <w:t>标准</w:t>
            </w:r>
          </w:p>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eastAsia="zh-CN"/>
              </w:rPr>
            </w:pPr>
            <w:r>
              <w:rPr>
                <w:rFonts w:hint="eastAsia" w:ascii="宋体" w:hAnsi="宋体" w:eastAsia="宋体" w:cs="宋体"/>
                <w:spacing w:val="0"/>
                <w:sz w:val="18"/>
                <w:szCs w:val="18"/>
                <w:shd w:val="clear" w:color="auto" w:fill="auto"/>
                <w:lang w:eastAsia="zh-CN"/>
              </w:rPr>
              <w:t>T/FSS XX-2024</w:t>
            </w:r>
          </w:p>
        </w:tc>
        <w:tc>
          <w:tcPr>
            <w:tcW w:w="1577" w:type="pct"/>
            <w:gridSpan w:val="3"/>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eastAsia="zh-CN"/>
              </w:rPr>
            </w:pPr>
            <w:r>
              <w:rPr>
                <w:rFonts w:hint="eastAsia" w:ascii="宋体" w:hAnsi="宋体" w:eastAsia="宋体" w:cs="宋体"/>
                <w:spacing w:val="0"/>
                <w:sz w:val="18"/>
                <w:szCs w:val="18"/>
                <w:shd w:val="clear" w:color="auto" w:fill="auto"/>
                <w:lang w:eastAsia="zh-CN"/>
              </w:rPr>
              <w:t>国家标准</w:t>
            </w:r>
          </w:p>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eastAsia="zh-CN"/>
              </w:rPr>
            </w:pPr>
            <w:r>
              <w:rPr>
                <w:rFonts w:hint="eastAsia" w:ascii="宋体" w:hAnsi="宋体" w:eastAsia="宋体" w:cs="宋体"/>
                <w:spacing w:val="0"/>
                <w:sz w:val="18"/>
                <w:szCs w:val="18"/>
                <w:shd w:val="clear" w:color="auto" w:fill="auto"/>
                <w:lang w:eastAsia="zh-CN"/>
              </w:rPr>
              <w:t>GB</w:t>
            </w:r>
            <w:r>
              <w:rPr>
                <w:rFonts w:hint="default" w:ascii="宋体" w:hAnsi="宋体" w:eastAsia="宋体" w:cs="宋体"/>
                <w:spacing w:val="0"/>
                <w:sz w:val="18"/>
                <w:szCs w:val="18"/>
                <w:shd w:val="clear" w:color="auto" w:fill="auto"/>
                <w:lang w:val="en-US" w:eastAsia="zh-CN"/>
              </w:rPr>
              <w:t>/</w:t>
            </w:r>
            <w:r>
              <w:rPr>
                <w:rFonts w:hint="eastAsia" w:ascii="宋体" w:hAnsi="宋体" w:eastAsia="宋体" w:cs="宋体"/>
                <w:spacing w:val="0"/>
                <w:sz w:val="18"/>
                <w:szCs w:val="18"/>
                <w:shd w:val="clear" w:color="auto" w:fill="auto"/>
                <w:lang w:eastAsia="zh-CN"/>
              </w:rPr>
              <w:t>T 24402-2021</w:t>
            </w:r>
          </w:p>
        </w:tc>
        <w:tc>
          <w:tcPr>
            <w:tcW w:w="706" w:type="pct"/>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rPr>
            </w:pPr>
            <w:r>
              <w:rPr>
                <w:rFonts w:hint="eastAsia" w:ascii="宋体" w:hAnsi="宋体" w:eastAsia="宋体" w:cs="宋体"/>
                <w:spacing w:val="0"/>
                <w:kern w:val="2"/>
                <w:sz w:val="18"/>
                <w:szCs w:val="18"/>
                <w:shd w:val="clear" w:color="auto" w:fill="auto"/>
                <w:lang w:eastAsia="zh-CN"/>
              </w:rPr>
              <w:t>比对情况及说明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13" w:type="pct"/>
            <w:vMerge w:val="restart"/>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en-US" w:eastAsia="zh-CN"/>
              </w:rPr>
            </w:pPr>
            <w:r>
              <w:rPr>
                <w:rFonts w:hint="eastAsia" w:ascii="宋体" w:hAnsi="宋体" w:eastAsia="宋体" w:cs="宋体"/>
                <w:spacing w:val="0"/>
                <w:sz w:val="18"/>
                <w:szCs w:val="18"/>
                <w:shd w:val="clear" w:color="auto" w:fill="auto"/>
                <w:lang w:val="en-US" w:eastAsia="zh-CN"/>
              </w:rPr>
              <w:t>基础性指标</w:t>
            </w:r>
          </w:p>
        </w:tc>
        <w:tc>
          <w:tcPr>
            <w:tcW w:w="618" w:type="pct"/>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en-US" w:eastAsia="zh-CN" w:bidi="ar-SA"/>
              </w:rPr>
            </w:pPr>
            <w:r>
              <w:rPr>
                <w:rFonts w:hint="eastAsia" w:ascii="宋体" w:hAnsi="宋体" w:cs="宋体"/>
                <w:spacing w:val="0"/>
                <w:sz w:val="18"/>
                <w:szCs w:val="18"/>
                <w:shd w:val="clear" w:color="auto" w:fill="auto"/>
                <w:lang w:val="en-US" w:eastAsia="zh-CN" w:bidi="ar-SA"/>
              </w:rPr>
              <w:t>原辅材料</w:t>
            </w:r>
          </w:p>
        </w:tc>
        <w:tc>
          <w:tcPr>
            <w:tcW w:w="1784" w:type="pct"/>
            <w:gridSpan w:val="4"/>
            <w:shd w:val="clear" w:color="auto" w:fill="auto"/>
            <w:vAlign w:val="center"/>
          </w:tcPr>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5.1.1</w:t>
            </w:r>
            <w:r>
              <w:rPr>
                <w:rFonts w:hint="eastAsia"/>
                <w:color w:val="auto"/>
                <w:sz w:val="18"/>
                <w:szCs w:val="18"/>
              </w:rPr>
              <w:t>鲮鱼</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鲜(冻)鲮鱼应符合</w:t>
            </w:r>
            <w:r>
              <w:rPr>
                <w:rFonts w:hint="eastAsia" w:cs="Times New Roman"/>
                <w:color w:val="auto"/>
                <w:sz w:val="18"/>
                <w:szCs w:val="18"/>
              </w:rPr>
              <w:t>GB</w:t>
            </w:r>
            <w:r>
              <w:rPr>
                <w:rFonts w:hint="eastAsia" w:cs="Times New Roman"/>
                <w:color w:val="auto"/>
                <w:sz w:val="18"/>
                <w:szCs w:val="18"/>
                <w:lang w:val="en-US" w:eastAsia="zh-CN"/>
              </w:rPr>
              <w:t xml:space="preserve"> </w:t>
            </w:r>
            <w:r>
              <w:rPr>
                <w:rFonts w:hint="eastAsia" w:cs="Times New Roman"/>
                <w:color w:val="auto"/>
                <w:sz w:val="18"/>
                <w:szCs w:val="18"/>
              </w:rPr>
              <w:t>2733</w:t>
            </w:r>
            <w:r>
              <w:rPr>
                <w:rFonts w:hint="eastAsia" w:cs="Times New Roman"/>
                <w:color w:val="auto"/>
                <w:sz w:val="18"/>
                <w:szCs w:val="18"/>
                <w:lang w:eastAsia="zh-CN"/>
              </w:rPr>
              <w:t>及</w:t>
            </w:r>
            <w:r>
              <w:rPr>
                <w:rFonts w:hint="eastAsia"/>
                <w:color w:val="auto"/>
                <w:sz w:val="18"/>
                <w:szCs w:val="18"/>
              </w:rPr>
              <w:t>相关标准的要求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5.1.2</w:t>
            </w:r>
            <w:r>
              <w:rPr>
                <w:rFonts w:hint="eastAsia"/>
                <w:color w:val="auto"/>
                <w:sz w:val="18"/>
                <w:szCs w:val="18"/>
              </w:rPr>
              <w:t>豆豉</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应符合</w:t>
            </w:r>
            <w:r>
              <w:rPr>
                <w:rFonts w:hint="eastAsia" w:cs="Times New Roman"/>
                <w:color w:val="auto"/>
                <w:sz w:val="18"/>
                <w:szCs w:val="18"/>
              </w:rPr>
              <w:t>GB/T 42464</w:t>
            </w:r>
            <w:r>
              <w:rPr>
                <w:rFonts w:hint="eastAsia" w:cs="Times New Roman"/>
                <w:color w:val="auto"/>
                <w:sz w:val="18"/>
                <w:szCs w:val="18"/>
                <w:lang w:eastAsia="zh-CN"/>
              </w:rPr>
              <w:t>及</w:t>
            </w:r>
            <w:r>
              <w:rPr>
                <w:rFonts w:hint="eastAsia"/>
                <w:color w:val="auto"/>
                <w:sz w:val="18"/>
                <w:szCs w:val="18"/>
              </w:rPr>
              <w:t>相关标准的要求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5.1.3</w:t>
            </w:r>
            <w:r>
              <w:rPr>
                <w:rFonts w:hint="eastAsia"/>
                <w:color w:val="auto"/>
                <w:sz w:val="18"/>
                <w:szCs w:val="18"/>
              </w:rPr>
              <w:t>食用植物油</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cs="Times New Roman"/>
                <w:color w:val="auto"/>
                <w:sz w:val="18"/>
                <w:szCs w:val="18"/>
                <w:lang w:eastAsia="zh-CN"/>
              </w:rPr>
            </w:pPr>
            <w:r>
              <w:rPr>
                <w:rFonts w:hint="eastAsia" w:cs="Times New Roman"/>
                <w:color w:val="auto"/>
                <w:sz w:val="18"/>
                <w:szCs w:val="18"/>
              </w:rPr>
              <w:t>应符合GB/T</w:t>
            </w:r>
            <w:r>
              <w:rPr>
                <w:rFonts w:hint="eastAsia" w:cs="Times New Roman"/>
                <w:color w:val="auto"/>
                <w:sz w:val="18"/>
                <w:szCs w:val="18"/>
                <w:lang w:val="en-US" w:eastAsia="zh-CN"/>
              </w:rPr>
              <w:t xml:space="preserve"> </w:t>
            </w:r>
            <w:r>
              <w:rPr>
                <w:rFonts w:hint="eastAsia" w:cs="Times New Roman"/>
                <w:color w:val="auto"/>
                <w:sz w:val="18"/>
                <w:szCs w:val="18"/>
              </w:rPr>
              <w:t>1535、</w:t>
            </w:r>
            <w:r>
              <w:rPr>
                <w:rFonts w:hint="eastAsia" w:cs="Times New Roman"/>
                <w:color w:val="auto"/>
                <w:sz w:val="18"/>
                <w:szCs w:val="18"/>
                <w:lang w:eastAsia="zh-CN"/>
              </w:rPr>
              <w:t>GB/T 15680</w:t>
            </w:r>
            <w:r>
              <w:rPr>
                <w:rFonts w:hint="eastAsia" w:cs="Times New Roman"/>
                <w:color w:val="auto"/>
                <w:sz w:val="18"/>
                <w:szCs w:val="18"/>
              </w:rPr>
              <w:t>等相</w:t>
            </w:r>
            <w:r>
              <w:rPr>
                <w:rFonts w:hint="eastAsia" w:cs="Times New Roman"/>
                <w:color w:val="auto"/>
                <w:sz w:val="18"/>
                <w:szCs w:val="18"/>
                <w:lang w:eastAsia="zh-CN"/>
              </w:rPr>
              <w:t>关</w:t>
            </w:r>
            <w:r>
              <w:rPr>
                <w:rFonts w:hint="eastAsia" w:cs="Times New Roman"/>
                <w:color w:val="auto"/>
                <w:sz w:val="18"/>
                <w:szCs w:val="18"/>
              </w:rPr>
              <w:t>标准的要求</w:t>
            </w:r>
            <w:r>
              <w:rPr>
                <w:rFonts w:hint="eastAsia" w:cs="Times New Roman"/>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5.1.4</w:t>
            </w:r>
            <w:r>
              <w:rPr>
                <w:rFonts w:hint="eastAsia"/>
                <w:color w:val="auto"/>
                <w:sz w:val="18"/>
                <w:szCs w:val="18"/>
              </w:rPr>
              <w:t xml:space="preserve">食用盐 </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应符合GB/T</w:t>
            </w:r>
            <w:r>
              <w:rPr>
                <w:rFonts w:hint="eastAsia"/>
                <w:color w:val="auto"/>
                <w:sz w:val="18"/>
                <w:szCs w:val="18"/>
                <w:lang w:val="en-US" w:eastAsia="zh-CN"/>
              </w:rPr>
              <w:t xml:space="preserve"> </w:t>
            </w:r>
            <w:r>
              <w:rPr>
                <w:rFonts w:hint="eastAsia"/>
                <w:color w:val="auto"/>
                <w:sz w:val="18"/>
                <w:szCs w:val="18"/>
              </w:rPr>
              <w:t>5461及相关标准的要求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5.1.5</w:t>
            </w:r>
            <w:r>
              <w:rPr>
                <w:rFonts w:hint="eastAsia"/>
                <w:color w:val="auto"/>
                <w:sz w:val="18"/>
                <w:szCs w:val="18"/>
              </w:rPr>
              <w:t>酿造酱油</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应符合GB/T</w:t>
            </w:r>
            <w:r>
              <w:rPr>
                <w:rFonts w:hint="eastAsia"/>
                <w:color w:val="auto"/>
                <w:sz w:val="18"/>
                <w:szCs w:val="18"/>
                <w:lang w:val="en-US" w:eastAsia="zh-CN"/>
              </w:rPr>
              <w:t xml:space="preserve"> </w:t>
            </w:r>
            <w:r>
              <w:rPr>
                <w:rFonts w:hint="eastAsia"/>
                <w:color w:val="auto"/>
                <w:sz w:val="18"/>
                <w:szCs w:val="18"/>
              </w:rPr>
              <w:t>18186及相关标准的要求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5.1.6</w:t>
            </w:r>
            <w:r>
              <w:rPr>
                <w:rFonts w:hint="eastAsia"/>
                <w:color w:val="auto"/>
                <w:sz w:val="18"/>
                <w:szCs w:val="18"/>
              </w:rPr>
              <w:t>白砂糖</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应符合GB/T</w:t>
            </w:r>
            <w:r>
              <w:rPr>
                <w:rFonts w:hint="eastAsia"/>
                <w:color w:val="auto"/>
                <w:sz w:val="18"/>
                <w:szCs w:val="18"/>
                <w:lang w:val="en-US" w:eastAsia="zh-CN"/>
              </w:rPr>
              <w:t xml:space="preserve"> </w:t>
            </w:r>
            <w:r>
              <w:rPr>
                <w:rFonts w:hint="eastAsia"/>
                <w:color w:val="auto"/>
                <w:sz w:val="18"/>
                <w:szCs w:val="18"/>
              </w:rPr>
              <w:t>317及相关标准的要求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5.1.7</w:t>
            </w:r>
            <w:r>
              <w:rPr>
                <w:rFonts w:hint="eastAsia"/>
                <w:color w:val="auto"/>
                <w:sz w:val="18"/>
                <w:szCs w:val="18"/>
              </w:rPr>
              <w:t>谷氨酸钠(味精)</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应符合GB/T</w:t>
            </w:r>
            <w:r>
              <w:rPr>
                <w:rFonts w:hint="eastAsia"/>
                <w:color w:val="auto"/>
                <w:sz w:val="18"/>
                <w:szCs w:val="18"/>
                <w:lang w:val="en-US" w:eastAsia="zh-CN"/>
              </w:rPr>
              <w:t xml:space="preserve"> </w:t>
            </w:r>
            <w:r>
              <w:rPr>
                <w:rFonts w:hint="eastAsia"/>
                <w:color w:val="auto"/>
                <w:sz w:val="18"/>
                <w:szCs w:val="18"/>
              </w:rPr>
              <w:t>8967的要求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5.1.8</w:t>
            </w:r>
            <w:r>
              <w:rPr>
                <w:rFonts w:hint="eastAsia"/>
                <w:color w:val="auto"/>
                <w:sz w:val="18"/>
                <w:szCs w:val="18"/>
              </w:rPr>
              <w:t>香辛料</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pacing w:val="0"/>
                <w:kern w:val="2"/>
                <w:sz w:val="18"/>
                <w:szCs w:val="18"/>
                <w:shd w:val="clear" w:color="auto" w:fill="auto"/>
                <w:lang w:val="en-US" w:eastAsia="zh-CN" w:bidi="ar-SA"/>
              </w:rPr>
            </w:pPr>
            <w:r>
              <w:rPr>
                <w:rFonts w:hint="eastAsia"/>
                <w:color w:val="auto"/>
                <w:sz w:val="18"/>
                <w:szCs w:val="18"/>
              </w:rPr>
              <w:t>应符合GB/T</w:t>
            </w:r>
            <w:r>
              <w:rPr>
                <w:rFonts w:hint="eastAsia"/>
                <w:color w:val="auto"/>
                <w:sz w:val="18"/>
                <w:szCs w:val="18"/>
                <w:lang w:val="en-US" w:eastAsia="zh-CN"/>
              </w:rPr>
              <w:t xml:space="preserve"> </w:t>
            </w:r>
            <w:r>
              <w:rPr>
                <w:rFonts w:hint="eastAsia"/>
                <w:color w:val="auto"/>
                <w:sz w:val="18"/>
                <w:szCs w:val="18"/>
              </w:rPr>
              <w:t>15691的要求</w:t>
            </w:r>
            <w:r>
              <w:rPr>
                <w:rFonts w:hint="eastAsia"/>
                <w:color w:val="auto"/>
                <w:sz w:val="18"/>
                <w:szCs w:val="18"/>
                <w:lang w:eastAsia="zh-CN"/>
              </w:rPr>
              <w:t>。。</w:t>
            </w:r>
          </w:p>
        </w:tc>
        <w:tc>
          <w:tcPr>
            <w:tcW w:w="1577" w:type="pct"/>
            <w:gridSpan w:val="3"/>
            <w:vAlign w:val="center"/>
          </w:tcPr>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5.1.1</w:t>
            </w:r>
            <w:r>
              <w:rPr>
                <w:rFonts w:hint="eastAsia"/>
                <w:color w:val="auto"/>
                <w:sz w:val="18"/>
                <w:szCs w:val="18"/>
              </w:rPr>
              <w:t>鲮鱼</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鲜(冻)鲮鱼应符合相关标准的要求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5.1.2</w:t>
            </w:r>
            <w:r>
              <w:rPr>
                <w:rFonts w:hint="eastAsia"/>
                <w:color w:val="auto"/>
                <w:sz w:val="18"/>
                <w:szCs w:val="18"/>
              </w:rPr>
              <w:t>豆豉</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应符合相关标准的要求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5.1.3</w:t>
            </w:r>
            <w:r>
              <w:rPr>
                <w:rFonts w:hint="eastAsia"/>
                <w:color w:val="auto"/>
                <w:sz w:val="18"/>
                <w:szCs w:val="18"/>
              </w:rPr>
              <w:t>食用植物油</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应符合GB/T</w:t>
            </w:r>
            <w:r>
              <w:rPr>
                <w:rFonts w:hint="eastAsia"/>
                <w:color w:val="auto"/>
                <w:sz w:val="18"/>
                <w:szCs w:val="18"/>
                <w:lang w:val="en-US" w:eastAsia="zh-CN"/>
              </w:rPr>
              <w:t xml:space="preserve"> </w:t>
            </w:r>
            <w:r>
              <w:rPr>
                <w:rFonts w:hint="eastAsia"/>
                <w:color w:val="auto"/>
                <w:sz w:val="18"/>
                <w:szCs w:val="18"/>
              </w:rPr>
              <w:t>1535、GB/T</w:t>
            </w:r>
            <w:r>
              <w:rPr>
                <w:rFonts w:hint="eastAsia"/>
                <w:color w:val="auto"/>
                <w:sz w:val="18"/>
                <w:szCs w:val="18"/>
                <w:lang w:val="en-US" w:eastAsia="zh-CN"/>
              </w:rPr>
              <w:t xml:space="preserve"> </w:t>
            </w:r>
            <w:r>
              <w:rPr>
                <w:rFonts w:hint="eastAsia"/>
                <w:color w:val="auto"/>
                <w:sz w:val="18"/>
                <w:szCs w:val="18"/>
              </w:rPr>
              <w:t>1536或GB/T</w:t>
            </w:r>
            <w:r>
              <w:rPr>
                <w:rFonts w:hint="eastAsia"/>
                <w:color w:val="auto"/>
                <w:sz w:val="18"/>
                <w:szCs w:val="18"/>
                <w:lang w:val="en-US" w:eastAsia="zh-CN"/>
              </w:rPr>
              <w:t xml:space="preserve"> </w:t>
            </w:r>
            <w:r>
              <w:rPr>
                <w:rFonts w:hint="eastAsia"/>
                <w:color w:val="auto"/>
                <w:sz w:val="18"/>
                <w:szCs w:val="18"/>
              </w:rPr>
              <w:t>10464等相</w:t>
            </w:r>
            <w:r>
              <w:rPr>
                <w:rFonts w:hint="eastAsia"/>
                <w:color w:val="auto"/>
                <w:sz w:val="18"/>
                <w:szCs w:val="18"/>
                <w:lang w:eastAsia="zh-CN"/>
              </w:rPr>
              <w:t>关</w:t>
            </w:r>
            <w:r>
              <w:rPr>
                <w:rFonts w:hint="eastAsia"/>
                <w:color w:val="auto"/>
                <w:sz w:val="18"/>
                <w:szCs w:val="18"/>
              </w:rPr>
              <w:t>标准的要求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5.1.4</w:t>
            </w:r>
            <w:r>
              <w:rPr>
                <w:rFonts w:hint="eastAsia"/>
                <w:color w:val="auto"/>
                <w:sz w:val="18"/>
                <w:szCs w:val="18"/>
              </w:rPr>
              <w:t xml:space="preserve">食用盐 </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应符合GB/T</w:t>
            </w:r>
            <w:r>
              <w:rPr>
                <w:rFonts w:hint="eastAsia"/>
                <w:color w:val="auto"/>
                <w:sz w:val="18"/>
                <w:szCs w:val="18"/>
                <w:lang w:val="en-US" w:eastAsia="zh-CN"/>
              </w:rPr>
              <w:t xml:space="preserve"> </w:t>
            </w:r>
            <w:r>
              <w:rPr>
                <w:rFonts w:hint="eastAsia"/>
                <w:color w:val="auto"/>
                <w:sz w:val="18"/>
                <w:szCs w:val="18"/>
              </w:rPr>
              <w:t>5461及相关标准的要求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5.1.5</w:t>
            </w:r>
            <w:r>
              <w:rPr>
                <w:rFonts w:hint="eastAsia"/>
                <w:color w:val="auto"/>
                <w:sz w:val="18"/>
                <w:szCs w:val="18"/>
              </w:rPr>
              <w:t>酿造酱油</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应符合GB/T</w:t>
            </w:r>
            <w:r>
              <w:rPr>
                <w:rFonts w:hint="eastAsia"/>
                <w:color w:val="auto"/>
                <w:sz w:val="18"/>
                <w:szCs w:val="18"/>
                <w:lang w:val="en-US" w:eastAsia="zh-CN"/>
              </w:rPr>
              <w:t xml:space="preserve"> </w:t>
            </w:r>
            <w:r>
              <w:rPr>
                <w:rFonts w:hint="eastAsia"/>
                <w:color w:val="auto"/>
                <w:sz w:val="18"/>
                <w:szCs w:val="18"/>
              </w:rPr>
              <w:t>18186及相关标准的要求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5.1.6</w:t>
            </w:r>
            <w:r>
              <w:rPr>
                <w:rFonts w:hint="eastAsia"/>
                <w:color w:val="auto"/>
                <w:sz w:val="18"/>
                <w:szCs w:val="18"/>
              </w:rPr>
              <w:t>白砂糖</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应符合GB/T</w:t>
            </w:r>
            <w:r>
              <w:rPr>
                <w:rFonts w:hint="eastAsia"/>
                <w:color w:val="auto"/>
                <w:sz w:val="18"/>
                <w:szCs w:val="18"/>
                <w:lang w:val="en-US" w:eastAsia="zh-CN"/>
              </w:rPr>
              <w:t xml:space="preserve"> </w:t>
            </w:r>
            <w:r>
              <w:rPr>
                <w:rFonts w:hint="eastAsia"/>
                <w:color w:val="auto"/>
                <w:sz w:val="18"/>
                <w:szCs w:val="18"/>
              </w:rPr>
              <w:t>317及相关标准的要求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5.1.7</w:t>
            </w:r>
            <w:r>
              <w:rPr>
                <w:rFonts w:hint="eastAsia"/>
                <w:color w:val="auto"/>
                <w:sz w:val="18"/>
                <w:szCs w:val="18"/>
              </w:rPr>
              <w:t>谷氨酸钠(味精)</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应符合GB/T</w:t>
            </w:r>
            <w:r>
              <w:rPr>
                <w:rFonts w:hint="eastAsia"/>
                <w:color w:val="auto"/>
                <w:sz w:val="18"/>
                <w:szCs w:val="18"/>
                <w:lang w:val="en-US" w:eastAsia="zh-CN"/>
              </w:rPr>
              <w:t xml:space="preserve"> </w:t>
            </w:r>
            <w:r>
              <w:rPr>
                <w:rFonts w:hint="eastAsia"/>
                <w:color w:val="auto"/>
                <w:sz w:val="18"/>
                <w:szCs w:val="18"/>
              </w:rPr>
              <w:t>8967的要求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5.1.8</w:t>
            </w:r>
            <w:r>
              <w:rPr>
                <w:rFonts w:hint="eastAsia"/>
                <w:color w:val="auto"/>
                <w:sz w:val="18"/>
                <w:szCs w:val="18"/>
              </w:rPr>
              <w:t>香辛料</w:t>
            </w:r>
          </w:p>
          <w:p>
            <w:pPr>
              <w:pStyle w:val="40"/>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eastAsia="宋体"/>
                <w:color w:val="auto"/>
                <w:sz w:val="18"/>
                <w:szCs w:val="18"/>
                <w:lang w:eastAsia="zh-CN"/>
              </w:rPr>
            </w:pPr>
            <w:r>
              <w:rPr>
                <w:rFonts w:hint="eastAsia"/>
                <w:color w:val="auto"/>
                <w:sz w:val="18"/>
                <w:szCs w:val="18"/>
              </w:rPr>
              <w:t>应符合GB/T</w:t>
            </w:r>
            <w:r>
              <w:rPr>
                <w:rFonts w:hint="eastAsia"/>
                <w:color w:val="auto"/>
                <w:sz w:val="18"/>
                <w:szCs w:val="18"/>
                <w:lang w:val="en-US" w:eastAsia="zh-CN"/>
              </w:rPr>
              <w:t xml:space="preserve"> </w:t>
            </w:r>
            <w:r>
              <w:rPr>
                <w:rFonts w:hint="eastAsia"/>
                <w:color w:val="auto"/>
                <w:sz w:val="18"/>
                <w:szCs w:val="18"/>
              </w:rPr>
              <w:t>15691的要求</w:t>
            </w:r>
            <w:r>
              <w:rPr>
                <w:rFonts w:hint="eastAsia"/>
                <w:color w:val="auto"/>
                <w:sz w:val="18"/>
                <w:szCs w:val="18"/>
                <w:lang w:eastAsia="zh-CN"/>
              </w:rPr>
              <w:t>。</w:t>
            </w:r>
          </w:p>
          <w:p>
            <w:pPr>
              <w:pStyle w:val="42"/>
              <w:keepNext w:val="0"/>
              <w:keepLines w:val="0"/>
              <w:pageBreakBefore w:val="0"/>
              <w:numPr>
                <w:ilvl w:val="2"/>
                <w:numId w:val="0"/>
              </w:numPr>
              <w:kinsoku/>
              <w:wordWrap/>
              <w:overflowPunct/>
              <w:topLinePunct w:val="0"/>
              <w:autoSpaceDE/>
              <w:autoSpaceDN/>
              <w:bidi w:val="0"/>
              <w:adjustRightInd/>
              <w:snapToGrid/>
              <w:spacing w:beforeLines="0" w:afterLines="0"/>
              <w:ind w:leftChars="0"/>
              <w:textAlignment w:val="auto"/>
              <w:rPr>
                <w:rFonts w:hint="eastAsia"/>
                <w:color w:val="auto"/>
                <w:sz w:val="18"/>
                <w:szCs w:val="18"/>
              </w:rPr>
            </w:pPr>
            <w:r>
              <w:rPr>
                <w:rFonts w:hint="eastAsia"/>
                <w:color w:val="auto"/>
                <w:sz w:val="18"/>
                <w:szCs w:val="18"/>
                <w:lang w:val="en-US" w:eastAsia="zh-CN"/>
              </w:rPr>
              <w:t>5.1.9</w:t>
            </w:r>
            <w:r>
              <w:rPr>
                <w:rFonts w:hint="eastAsia"/>
                <w:color w:val="auto"/>
                <w:sz w:val="18"/>
                <w:szCs w:val="18"/>
              </w:rPr>
              <w:t>其他配料和辅料</w:t>
            </w:r>
          </w:p>
          <w:p>
            <w:pPr>
              <w:keepNext w:val="0"/>
              <w:keepLines w:val="0"/>
              <w:pageBreakBefore w:val="0"/>
              <w:kinsoku/>
              <w:wordWrap/>
              <w:overflowPunct/>
              <w:topLinePunct w:val="0"/>
              <w:bidi w:val="0"/>
              <w:jc w:val="left"/>
              <w:textAlignment w:val="auto"/>
              <w:rPr>
                <w:rFonts w:hint="default" w:ascii="宋体" w:hAnsi="宋体" w:eastAsia="宋体" w:cs="宋体"/>
                <w:spacing w:val="0"/>
                <w:sz w:val="18"/>
                <w:szCs w:val="18"/>
                <w:shd w:val="clear" w:color="auto" w:fill="auto"/>
                <w:lang w:val="en-US" w:eastAsia="zh-CN" w:bidi="ar-SA"/>
              </w:rPr>
            </w:pPr>
            <w:r>
              <w:rPr>
                <w:rFonts w:hint="eastAsia"/>
                <w:color w:val="auto"/>
                <w:sz w:val="18"/>
                <w:szCs w:val="18"/>
              </w:rPr>
              <w:t>应符合相关标准和有关规定的要求</w:t>
            </w:r>
            <w:r>
              <w:rPr>
                <w:rFonts w:hint="eastAsia"/>
                <w:color w:val="auto"/>
                <w:sz w:val="18"/>
                <w:szCs w:val="18"/>
                <w:lang w:eastAsia="zh-CN"/>
              </w:rPr>
              <w:t>。</w:t>
            </w:r>
          </w:p>
        </w:tc>
        <w:tc>
          <w:tcPr>
            <w:tcW w:w="706" w:type="pct"/>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en-US" w:eastAsia="zh-CN" w:bidi="ar-SA"/>
              </w:rPr>
            </w:pPr>
            <w:r>
              <w:rPr>
                <w:rFonts w:hint="eastAsia" w:ascii="宋体" w:hAnsi="宋体" w:cs="宋体"/>
                <w:spacing w:val="0"/>
                <w:sz w:val="18"/>
                <w:szCs w:val="18"/>
                <w:shd w:val="clear" w:color="auto" w:fill="auto"/>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eastAsia="zh-CN"/>
              </w:rPr>
            </w:pPr>
          </w:p>
        </w:tc>
        <w:tc>
          <w:tcPr>
            <w:tcW w:w="61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pacing w:val="0"/>
                <w:sz w:val="18"/>
                <w:szCs w:val="18"/>
                <w:shd w:val="clear" w:color="auto" w:fill="auto"/>
                <w:lang w:val="zh-CN" w:eastAsia="zh-CN" w:bidi="ar-SA"/>
              </w:rPr>
            </w:pPr>
            <w:r>
              <w:rPr>
                <w:rFonts w:hint="eastAsia" w:ascii="宋体" w:hAnsi="宋体" w:cs="宋体"/>
                <w:spacing w:val="0"/>
                <w:sz w:val="18"/>
                <w:szCs w:val="18"/>
                <w:shd w:val="clear" w:color="auto" w:fill="auto"/>
                <w:lang w:val="zh-CN" w:eastAsia="zh-CN" w:bidi="ar-SA"/>
              </w:rPr>
              <w:t>净含量</w:t>
            </w:r>
          </w:p>
        </w:tc>
        <w:tc>
          <w:tcPr>
            <w:tcW w:w="1784" w:type="pct"/>
            <w:gridSpan w:val="4"/>
            <w:shd w:val="clear" w:color="auto" w:fill="auto"/>
            <w:vAlign w:val="center"/>
          </w:tcPr>
          <w:p>
            <w:pPr>
              <w:keepNext w:val="0"/>
              <w:keepLines w:val="0"/>
              <w:pageBreakBefore w:val="0"/>
              <w:widowControl w:val="0"/>
              <w:tabs>
                <w:tab w:val="center" w:pos="4201"/>
                <w:tab w:val="right" w:leader="dot" w:pos="9298"/>
              </w:tabs>
              <w:kinsoku/>
              <w:wordWrap/>
              <w:overflowPunct/>
              <w:topLinePunct w:val="0"/>
              <w:bidi w:val="0"/>
              <w:adjustRightInd w:val="0"/>
              <w:snapToGrid w:val="0"/>
              <w:spacing w:line="240" w:lineRule="auto"/>
              <w:jc w:val="left"/>
              <w:textAlignment w:val="auto"/>
              <w:rPr>
                <w:rFonts w:hint="eastAsia" w:ascii="宋体" w:hAnsi="宋体" w:eastAsia="宋体" w:cs="宋体"/>
                <w:spacing w:val="0"/>
                <w:sz w:val="18"/>
                <w:szCs w:val="18"/>
                <w:shd w:val="clear" w:color="auto" w:fill="auto"/>
                <w:lang w:val="en-US" w:eastAsia="zh-CN" w:bidi="ar-SA"/>
              </w:rPr>
            </w:pPr>
            <w:r>
              <w:rPr>
                <w:rFonts w:hint="eastAsia" w:ascii="宋体" w:hAnsi="宋体" w:eastAsia="宋体" w:cs="宋体"/>
                <w:color w:val="auto"/>
                <w:w w:val="105"/>
                <w:sz w:val="18"/>
                <w:szCs w:val="18"/>
                <w:lang w:val="en-US" w:eastAsia="zh-CN"/>
              </w:rPr>
              <w:t>应符合国家质量监督检验检疫总局令(2005)第75号的规定，且每批产品平均净含量不低于标示值</w:t>
            </w:r>
          </w:p>
        </w:tc>
        <w:tc>
          <w:tcPr>
            <w:tcW w:w="1577" w:type="pct"/>
            <w:gridSpan w:val="3"/>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宋体" w:hAnsi="宋体" w:eastAsia="宋体" w:cs="宋体"/>
                <w:spacing w:val="0"/>
                <w:sz w:val="18"/>
                <w:szCs w:val="18"/>
                <w:shd w:val="clear" w:color="auto" w:fill="auto"/>
                <w:lang w:val="en-US" w:eastAsia="zh-CN" w:bidi="ar-SA"/>
              </w:rPr>
            </w:pPr>
            <w:r>
              <w:rPr>
                <w:rFonts w:hint="eastAsia" w:ascii="宋体" w:hAnsi="宋体" w:eastAsia="宋体" w:cs="宋体"/>
                <w:color w:val="auto"/>
                <w:w w:val="105"/>
                <w:sz w:val="18"/>
                <w:szCs w:val="18"/>
                <w:lang w:val="en-US" w:eastAsia="zh-CN"/>
              </w:rPr>
              <w:t>应符合相关标准和规定,每批产品平均净含量不低于标示值</w:t>
            </w:r>
          </w:p>
        </w:tc>
        <w:tc>
          <w:tcPr>
            <w:tcW w:w="706" w:type="pct"/>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en-US" w:eastAsia="zh-CN" w:bidi="ar-SA"/>
              </w:rPr>
            </w:pPr>
            <w:r>
              <w:rPr>
                <w:rFonts w:hint="eastAsia" w:ascii="宋体" w:hAnsi="宋体" w:eastAsia="宋体" w:cs="宋体"/>
                <w:spacing w:val="0"/>
                <w:sz w:val="18"/>
                <w:szCs w:val="18"/>
                <w:shd w:val="clear" w:color="auto" w:fill="auto"/>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13" w:type="pct"/>
            <w:vMerge w:val="restart"/>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r>
              <w:rPr>
                <w:rFonts w:hint="eastAsia" w:ascii="宋体" w:hAnsi="宋体" w:eastAsia="宋体" w:cs="宋体"/>
                <w:spacing w:val="0"/>
                <w:sz w:val="18"/>
                <w:szCs w:val="18"/>
                <w:shd w:val="clear" w:color="auto" w:fill="auto"/>
                <w:lang w:val="zh-CN" w:eastAsia="zh-CN"/>
              </w:rPr>
              <w:t>关键</w:t>
            </w:r>
          </w:p>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r>
              <w:rPr>
                <w:rFonts w:hint="eastAsia" w:ascii="宋体" w:hAnsi="宋体" w:eastAsia="宋体" w:cs="宋体"/>
                <w:spacing w:val="0"/>
                <w:sz w:val="18"/>
                <w:szCs w:val="18"/>
                <w:shd w:val="clear" w:color="auto" w:fill="auto"/>
                <w:lang w:val="zh-CN" w:eastAsia="zh-CN"/>
              </w:rPr>
              <w:t>指标</w:t>
            </w:r>
          </w:p>
        </w:tc>
        <w:tc>
          <w:tcPr>
            <w:tcW w:w="618" w:type="pct"/>
            <w:vMerge w:val="restart"/>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rPr>
            </w:pPr>
            <w:r>
              <w:rPr>
                <w:rFonts w:hint="eastAsia" w:ascii="宋体" w:hAnsi="宋体" w:cs="宋体"/>
                <w:color w:val="auto"/>
                <w:w w:val="105"/>
                <w:sz w:val="18"/>
                <w:szCs w:val="18"/>
                <w:lang w:eastAsia="zh-CN"/>
              </w:rPr>
              <w:t>感官</w:t>
            </w:r>
          </w:p>
        </w:tc>
        <w:tc>
          <w:tcPr>
            <w:tcW w:w="265" w:type="pct"/>
            <w:shd w:val="clear" w:color="auto" w:fill="auto"/>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项目</w:t>
            </w:r>
          </w:p>
        </w:tc>
        <w:tc>
          <w:tcPr>
            <w:tcW w:w="1519" w:type="pct"/>
            <w:gridSpan w:val="3"/>
            <w:shd w:val="clear" w:color="auto" w:fill="auto"/>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感官要求</w:t>
            </w:r>
          </w:p>
        </w:tc>
        <w:tc>
          <w:tcPr>
            <w:tcW w:w="332" w:type="pct"/>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项目</w:t>
            </w:r>
          </w:p>
        </w:tc>
        <w:tc>
          <w:tcPr>
            <w:tcW w:w="1245" w:type="pct"/>
            <w:gridSpan w:val="2"/>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感官要求</w:t>
            </w:r>
            <w:r>
              <w:rPr>
                <w:rFonts w:hint="eastAsia"/>
                <w:color w:val="auto"/>
                <w:kern w:val="0"/>
                <w:sz w:val="18"/>
                <w:szCs w:val="18"/>
                <w:lang w:val="en-US" w:eastAsia="zh-CN"/>
              </w:rPr>
              <w:t>（优级品）</w:t>
            </w:r>
          </w:p>
        </w:tc>
        <w:tc>
          <w:tcPr>
            <w:tcW w:w="706" w:type="pct"/>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61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spacing w:val="0"/>
                <w:sz w:val="18"/>
                <w:szCs w:val="18"/>
                <w:shd w:val="clear" w:color="auto" w:fill="auto"/>
                <w:lang w:val="zh-CN" w:eastAsia="zh-CN" w:bidi="ar-SA"/>
              </w:rPr>
            </w:pPr>
          </w:p>
        </w:tc>
        <w:tc>
          <w:tcPr>
            <w:tcW w:w="265" w:type="pct"/>
            <w:shd w:val="clear" w:color="auto" w:fill="auto"/>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default" w:eastAsia="宋体"/>
                <w:color w:val="auto"/>
                <w:kern w:val="0"/>
                <w:sz w:val="18"/>
                <w:szCs w:val="18"/>
                <w:lang w:val="en-US" w:eastAsia="zh-CN"/>
              </w:rPr>
              <w:t>色泽</w:t>
            </w:r>
          </w:p>
        </w:tc>
        <w:tc>
          <w:tcPr>
            <w:tcW w:w="1519" w:type="pct"/>
            <w:gridSpan w:val="3"/>
            <w:shd w:val="clear" w:color="auto" w:fill="auto"/>
            <w:vAlign w:val="center"/>
          </w:tcPr>
          <w:p>
            <w:pPr>
              <w:widowControl/>
              <w:jc w:val="left"/>
              <w:rPr>
                <w:rFonts w:hint="eastAsia" w:ascii="Times New Roman" w:hAnsi="Times New Roman" w:eastAsia="宋体" w:cs="Times New Roman"/>
                <w:color w:val="auto"/>
                <w:kern w:val="0"/>
                <w:sz w:val="18"/>
                <w:szCs w:val="18"/>
                <w:lang w:val="en-US" w:eastAsia="zh-CN" w:bidi="ar-SA"/>
              </w:rPr>
            </w:pPr>
            <w:r>
              <w:rPr>
                <w:rFonts w:hint="default" w:eastAsia="宋体"/>
                <w:color w:val="auto"/>
                <w:kern w:val="0"/>
                <w:sz w:val="18"/>
                <w:szCs w:val="18"/>
                <w:lang w:val="en-US" w:eastAsia="zh-CN"/>
              </w:rPr>
              <w:t>具有</w:t>
            </w:r>
            <w:r>
              <w:rPr>
                <w:rFonts w:hint="eastAsia"/>
                <w:color w:val="auto"/>
                <w:kern w:val="0"/>
                <w:sz w:val="18"/>
                <w:szCs w:val="18"/>
                <w:lang w:val="en-US" w:eastAsia="zh-CN"/>
              </w:rPr>
              <w:t>豆豉</w:t>
            </w:r>
            <w:r>
              <w:rPr>
                <w:rFonts w:hint="default" w:eastAsia="宋体"/>
                <w:color w:val="auto"/>
                <w:kern w:val="0"/>
                <w:sz w:val="18"/>
                <w:szCs w:val="18"/>
                <w:lang w:val="en-US" w:eastAsia="zh-CN"/>
              </w:rPr>
              <w:t>鲮鱼罐头应有的色泽</w:t>
            </w:r>
          </w:p>
        </w:tc>
        <w:tc>
          <w:tcPr>
            <w:tcW w:w="332" w:type="pct"/>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default" w:eastAsia="宋体"/>
                <w:color w:val="auto"/>
                <w:kern w:val="0"/>
                <w:sz w:val="18"/>
                <w:szCs w:val="18"/>
                <w:lang w:val="en-US" w:eastAsia="zh-CN"/>
              </w:rPr>
              <w:t>色泽</w:t>
            </w:r>
          </w:p>
        </w:tc>
        <w:tc>
          <w:tcPr>
            <w:tcW w:w="1245" w:type="pct"/>
            <w:gridSpan w:val="2"/>
            <w:vAlign w:val="center"/>
          </w:tcPr>
          <w:p>
            <w:pPr>
              <w:widowControl/>
              <w:jc w:val="left"/>
              <w:rPr>
                <w:rFonts w:hint="eastAsia" w:ascii="Times New Roman" w:hAnsi="Times New Roman" w:eastAsia="宋体" w:cs="Times New Roman"/>
                <w:color w:val="auto"/>
                <w:kern w:val="0"/>
                <w:sz w:val="18"/>
                <w:szCs w:val="18"/>
                <w:lang w:val="en-US" w:eastAsia="zh-CN" w:bidi="ar-SA"/>
              </w:rPr>
            </w:pPr>
            <w:r>
              <w:rPr>
                <w:rFonts w:hint="default" w:eastAsia="宋体"/>
                <w:color w:val="auto"/>
                <w:kern w:val="0"/>
                <w:sz w:val="18"/>
                <w:szCs w:val="18"/>
                <w:lang w:val="en-US" w:eastAsia="zh-CN"/>
              </w:rPr>
              <w:t>具有</w:t>
            </w:r>
            <w:r>
              <w:rPr>
                <w:rFonts w:hint="eastAsia"/>
                <w:color w:val="auto"/>
                <w:kern w:val="0"/>
                <w:sz w:val="18"/>
                <w:szCs w:val="18"/>
                <w:lang w:val="en-US" w:eastAsia="zh-CN"/>
              </w:rPr>
              <w:t>该类别</w:t>
            </w:r>
            <w:r>
              <w:rPr>
                <w:rFonts w:hint="default" w:eastAsia="宋体"/>
                <w:color w:val="auto"/>
                <w:kern w:val="0"/>
                <w:sz w:val="18"/>
                <w:szCs w:val="18"/>
                <w:lang w:val="en-US" w:eastAsia="zh-CN"/>
              </w:rPr>
              <w:t>鲮鱼罐头应有的色泽</w:t>
            </w:r>
          </w:p>
        </w:tc>
        <w:tc>
          <w:tcPr>
            <w:tcW w:w="706" w:type="pct"/>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en-US" w:eastAsia="zh-CN" w:bidi="ar-SA"/>
              </w:rPr>
            </w:pPr>
            <w:r>
              <w:rPr>
                <w:rFonts w:hint="eastAsia" w:ascii="宋体" w:hAnsi="宋体" w:cs="宋体"/>
                <w:spacing w:val="0"/>
                <w:sz w:val="18"/>
                <w:szCs w:val="18"/>
                <w:shd w:val="clear" w:color="auto" w:fill="auto"/>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618"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rPr>
            </w:pPr>
          </w:p>
        </w:tc>
        <w:tc>
          <w:tcPr>
            <w:tcW w:w="265" w:type="pct"/>
            <w:vAlign w:val="center"/>
          </w:tcPr>
          <w:p>
            <w:pPr>
              <w:widowControl/>
              <w:jc w:val="center"/>
              <w:rPr>
                <w:rFonts w:hint="eastAsia" w:ascii="Times New Roman" w:hAnsi="Times New Roman" w:eastAsia="宋体" w:cs="Times New Roman"/>
                <w:color w:val="auto"/>
                <w:kern w:val="0"/>
                <w:sz w:val="18"/>
                <w:szCs w:val="18"/>
                <w:lang w:val="zh-CN" w:eastAsia="zh-CN" w:bidi="ar-SA"/>
              </w:rPr>
            </w:pPr>
            <w:r>
              <w:rPr>
                <w:rFonts w:hint="eastAsia"/>
                <w:color w:val="auto"/>
                <w:kern w:val="0"/>
                <w:sz w:val="18"/>
                <w:szCs w:val="18"/>
                <w:lang w:val="en-US" w:eastAsia="zh-CN"/>
              </w:rPr>
              <w:t>滋味</w:t>
            </w:r>
            <w:r>
              <w:rPr>
                <w:rFonts w:hint="default" w:eastAsia="宋体"/>
                <w:color w:val="auto"/>
                <w:kern w:val="0"/>
                <w:sz w:val="18"/>
                <w:szCs w:val="18"/>
                <w:lang w:val="en-US" w:eastAsia="zh-CN"/>
              </w:rPr>
              <w:t>、气味</w:t>
            </w:r>
          </w:p>
        </w:tc>
        <w:tc>
          <w:tcPr>
            <w:tcW w:w="1519" w:type="pct"/>
            <w:gridSpan w:val="3"/>
            <w:vAlign w:val="center"/>
          </w:tcPr>
          <w:p>
            <w:pPr>
              <w:widowControl/>
              <w:jc w:val="left"/>
              <w:rPr>
                <w:rFonts w:hint="eastAsia" w:ascii="Times New Roman" w:hAnsi="宋体" w:eastAsia="宋体" w:cs="宋体"/>
                <w:color w:val="auto"/>
                <w:kern w:val="0"/>
                <w:sz w:val="18"/>
                <w:szCs w:val="18"/>
                <w:lang w:val="zh-CN" w:eastAsia="zh-CN" w:bidi="ar-SA"/>
              </w:rPr>
            </w:pPr>
            <w:r>
              <w:rPr>
                <w:rFonts w:hint="default" w:eastAsia="宋体"/>
                <w:color w:val="auto"/>
                <w:kern w:val="0"/>
                <w:sz w:val="18"/>
                <w:szCs w:val="18"/>
                <w:lang w:val="en-US" w:eastAsia="zh-CN"/>
              </w:rPr>
              <w:t>具有</w:t>
            </w:r>
            <w:r>
              <w:rPr>
                <w:rFonts w:hint="eastAsia"/>
                <w:color w:val="auto"/>
                <w:kern w:val="0"/>
                <w:sz w:val="18"/>
                <w:szCs w:val="18"/>
                <w:lang w:val="en-US" w:eastAsia="zh-CN"/>
              </w:rPr>
              <w:t>豆豉</w:t>
            </w:r>
            <w:r>
              <w:rPr>
                <w:rFonts w:hint="default" w:eastAsia="宋体"/>
                <w:color w:val="auto"/>
                <w:kern w:val="0"/>
                <w:sz w:val="18"/>
                <w:szCs w:val="18"/>
                <w:lang w:val="en-US" w:eastAsia="zh-CN"/>
              </w:rPr>
              <w:t>鲮鱼罐头应有的滋味和气味，不得有异味</w:t>
            </w:r>
          </w:p>
        </w:tc>
        <w:tc>
          <w:tcPr>
            <w:tcW w:w="332" w:type="pct"/>
            <w:vAlign w:val="center"/>
          </w:tcPr>
          <w:p>
            <w:pPr>
              <w:widowControl/>
              <w:jc w:val="center"/>
              <w:rPr>
                <w:rFonts w:hint="eastAsia" w:ascii="Times New Roman" w:hAnsi="Times New Roman" w:eastAsia="宋体" w:cs="Times New Roman"/>
                <w:color w:val="auto"/>
                <w:kern w:val="0"/>
                <w:sz w:val="18"/>
                <w:szCs w:val="18"/>
                <w:lang w:val="zh-CN" w:eastAsia="zh-CN" w:bidi="ar-SA"/>
              </w:rPr>
            </w:pPr>
            <w:r>
              <w:rPr>
                <w:rFonts w:hint="eastAsia"/>
                <w:color w:val="auto"/>
                <w:kern w:val="0"/>
                <w:sz w:val="18"/>
                <w:szCs w:val="18"/>
                <w:lang w:val="en-US" w:eastAsia="zh-CN"/>
              </w:rPr>
              <w:t>滋味</w:t>
            </w:r>
            <w:r>
              <w:rPr>
                <w:rFonts w:hint="default" w:eastAsia="宋体"/>
                <w:color w:val="auto"/>
                <w:kern w:val="0"/>
                <w:sz w:val="18"/>
                <w:szCs w:val="18"/>
                <w:lang w:val="en-US" w:eastAsia="zh-CN"/>
              </w:rPr>
              <w:t>、气味</w:t>
            </w:r>
          </w:p>
        </w:tc>
        <w:tc>
          <w:tcPr>
            <w:tcW w:w="1245" w:type="pct"/>
            <w:gridSpan w:val="2"/>
            <w:vAlign w:val="center"/>
          </w:tcPr>
          <w:p>
            <w:pPr>
              <w:widowControl/>
              <w:jc w:val="left"/>
              <w:rPr>
                <w:rFonts w:hint="eastAsia" w:ascii="Times New Roman" w:hAnsi="宋体" w:eastAsia="宋体" w:cs="宋体"/>
                <w:color w:val="auto"/>
                <w:kern w:val="0"/>
                <w:sz w:val="18"/>
                <w:szCs w:val="18"/>
                <w:lang w:val="zh-CN" w:eastAsia="zh-CN" w:bidi="ar-SA"/>
              </w:rPr>
            </w:pPr>
            <w:r>
              <w:rPr>
                <w:rFonts w:hint="default" w:eastAsia="宋体"/>
                <w:color w:val="auto"/>
                <w:kern w:val="0"/>
                <w:sz w:val="18"/>
                <w:szCs w:val="18"/>
                <w:lang w:val="en-US" w:eastAsia="zh-CN"/>
              </w:rPr>
              <w:t>具有</w:t>
            </w:r>
            <w:r>
              <w:rPr>
                <w:rFonts w:hint="eastAsia"/>
                <w:color w:val="auto"/>
                <w:kern w:val="0"/>
                <w:sz w:val="18"/>
                <w:szCs w:val="18"/>
                <w:lang w:val="en-US" w:eastAsia="zh-CN"/>
              </w:rPr>
              <w:t>该类别</w:t>
            </w:r>
            <w:r>
              <w:rPr>
                <w:rFonts w:hint="default" w:eastAsia="宋体"/>
                <w:color w:val="auto"/>
                <w:kern w:val="0"/>
                <w:sz w:val="18"/>
                <w:szCs w:val="18"/>
                <w:lang w:val="en-US" w:eastAsia="zh-CN"/>
              </w:rPr>
              <w:t>鲮鱼罐头应有的滋味和气味，不得有异味</w:t>
            </w:r>
          </w:p>
        </w:tc>
        <w:tc>
          <w:tcPr>
            <w:tcW w:w="706" w:type="pct"/>
            <w:shd w:val="clear" w:color="auto" w:fill="auto"/>
            <w:vAlign w:val="center"/>
          </w:tcPr>
          <w:p>
            <w:pPr>
              <w:keepNext w:val="0"/>
              <w:keepLines w:val="0"/>
              <w:pageBreakBefore w:val="0"/>
              <w:kinsoku/>
              <w:wordWrap/>
              <w:overflowPunct/>
              <w:topLinePunct w:val="0"/>
              <w:bidi w:val="0"/>
              <w:adjustRightInd w:val="0"/>
              <w:snapToGrid w:val="0"/>
              <w:jc w:val="center"/>
              <w:textAlignment w:val="auto"/>
              <w:rPr>
                <w:rFonts w:hint="eastAsia" w:ascii="宋体" w:hAnsi="宋体" w:eastAsia="宋体" w:cs="宋体"/>
                <w:spacing w:val="0"/>
                <w:sz w:val="18"/>
                <w:szCs w:val="18"/>
                <w:shd w:val="clear" w:color="auto" w:fill="auto"/>
                <w:lang w:eastAsia="zh-CN"/>
              </w:rPr>
            </w:pPr>
            <w:r>
              <w:rPr>
                <w:rFonts w:hint="eastAsia" w:ascii="宋体" w:hAnsi="宋体" w:eastAsia="宋体" w:cs="宋体"/>
                <w:spacing w:val="0"/>
                <w:sz w:val="18"/>
                <w:szCs w:val="18"/>
                <w:shd w:val="clear" w:color="auto" w:fill="auto"/>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618"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rPr>
            </w:pPr>
          </w:p>
        </w:tc>
        <w:tc>
          <w:tcPr>
            <w:tcW w:w="265" w:type="pct"/>
            <w:vAlign w:val="center"/>
          </w:tcPr>
          <w:p>
            <w:pPr>
              <w:widowControl/>
              <w:jc w:val="center"/>
              <w:rPr>
                <w:rFonts w:hint="eastAsia" w:ascii="Times New Roman" w:hAnsi="Times New Roman" w:eastAsia="宋体" w:cs="Times New Roman"/>
                <w:color w:val="000000" w:themeColor="text1"/>
                <w:kern w:val="0"/>
                <w:sz w:val="18"/>
                <w:szCs w:val="18"/>
                <w:lang w:val="zh-CN" w:eastAsia="zh-CN" w:bidi="ar-SA"/>
              </w:rPr>
            </w:pPr>
            <w:r>
              <w:rPr>
                <w:rFonts w:hint="default" w:eastAsia="宋体"/>
                <w:color w:val="000000" w:themeColor="text1"/>
                <w:kern w:val="0"/>
                <w:sz w:val="18"/>
                <w:szCs w:val="18"/>
                <w:lang w:val="en-US" w:eastAsia="zh-CN"/>
              </w:rPr>
              <w:t>组织形态</w:t>
            </w:r>
          </w:p>
        </w:tc>
        <w:tc>
          <w:tcPr>
            <w:tcW w:w="1519" w:type="pct"/>
            <w:gridSpan w:val="3"/>
            <w:vAlign w:val="center"/>
          </w:tcPr>
          <w:p>
            <w:pPr>
              <w:widowControl/>
              <w:jc w:val="left"/>
              <w:rPr>
                <w:rFonts w:hint="eastAsia"/>
                <w:color w:val="000000" w:themeColor="text1"/>
                <w:kern w:val="0"/>
                <w:sz w:val="18"/>
                <w:szCs w:val="18"/>
                <w:lang w:val="en-US" w:eastAsia="zh-CN"/>
              </w:rPr>
            </w:pPr>
            <w:r>
              <w:rPr>
                <w:rFonts w:hint="default" w:eastAsia="宋体"/>
                <w:color w:val="000000" w:themeColor="text1"/>
                <w:kern w:val="0"/>
                <w:sz w:val="18"/>
                <w:szCs w:val="18"/>
                <w:lang w:val="en-US" w:eastAsia="zh-CN"/>
              </w:rPr>
              <w:t>鱼组织质地紧密,软硬及油炸适度</w:t>
            </w:r>
            <w:r>
              <w:rPr>
                <w:rFonts w:hint="eastAsia"/>
                <w:color w:val="000000" w:themeColor="text1"/>
                <w:kern w:val="0"/>
                <w:sz w:val="18"/>
                <w:szCs w:val="18"/>
                <w:lang w:val="en-US" w:eastAsia="zh-CN"/>
              </w:rPr>
              <w:t>；</w:t>
            </w:r>
          </w:p>
          <w:p>
            <w:pPr>
              <w:widowControl/>
              <w:jc w:val="left"/>
              <w:rPr>
                <w:rFonts w:hint="eastAsia"/>
                <w:color w:val="000000" w:themeColor="text1"/>
                <w:kern w:val="0"/>
                <w:sz w:val="18"/>
                <w:szCs w:val="18"/>
                <w:lang w:val="en-US" w:eastAsia="zh-CN"/>
              </w:rPr>
            </w:pPr>
            <w:r>
              <w:rPr>
                <w:rFonts w:hint="eastAsia"/>
                <w:color w:val="000000" w:themeColor="text1"/>
                <w:kern w:val="0"/>
                <w:sz w:val="18"/>
                <w:szCs w:val="18"/>
                <w:lang w:val="en-US" w:eastAsia="zh-CN"/>
              </w:rPr>
              <w:t>马口铁罐罐头无硫化铁污染内容物；</w:t>
            </w:r>
          </w:p>
          <w:p>
            <w:pPr>
              <w:widowControl/>
              <w:jc w:val="left"/>
              <w:rPr>
                <w:rFonts w:hint="eastAsia"/>
                <w:color w:val="000000" w:themeColor="text1"/>
                <w:kern w:val="0"/>
                <w:sz w:val="18"/>
                <w:szCs w:val="18"/>
                <w:lang w:val="en-US" w:eastAsia="zh-CN"/>
              </w:rPr>
            </w:pPr>
            <w:r>
              <w:rPr>
                <w:rFonts w:hint="eastAsia"/>
                <w:color w:val="000000" w:themeColor="text1"/>
                <w:kern w:val="0"/>
                <w:sz w:val="18"/>
                <w:szCs w:val="18"/>
                <w:lang w:val="en-US" w:eastAsia="zh-CN"/>
              </w:rPr>
              <w:t>杀菌后鱼骨在拇指按压下柔软；</w:t>
            </w:r>
          </w:p>
          <w:p>
            <w:pPr>
              <w:widowControl/>
              <w:jc w:val="left"/>
              <w:rPr>
                <w:rFonts w:hint="default" w:eastAsia="宋体"/>
                <w:color w:val="000000" w:themeColor="text1"/>
                <w:kern w:val="0"/>
                <w:sz w:val="18"/>
                <w:szCs w:val="18"/>
                <w:lang w:val="en-US" w:eastAsia="zh-CN"/>
              </w:rPr>
            </w:pPr>
            <w:r>
              <w:rPr>
                <w:rFonts w:hint="default" w:eastAsia="宋体"/>
                <w:color w:val="000000" w:themeColor="text1"/>
                <w:kern w:val="0"/>
                <w:sz w:val="18"/>
                <w:szCs w:val="18"/>
                <w:lang w:val="en-US" w:eastAsia="zh-CN"/>
              </w:rPr>
              <w:t>条装</w:t>
            </w:r>
            <w:r>
              <w:rPr>
                <w:rFonts w:hint="eastAsia"/>
                <w:color w:val="000000" w:themeColor="text1"/>
                <w:kern w:val="0"/>
                <w:sz w:val="18"/>
                <w:szCs w:val="18"/>
                <w:lang w:val="en-US" w:eastAsia="zh-CN"/>
              </w:rPr>
              <w:t>：</w:t>
            </w:r>
            <w:r>
              <w:rPr>
                <w:rFonts w:hint="default" w:eastAsia="宋体"/>
                <w:color w:val="000000" w:themeColor="text1"/>
                <w:kern w:val="0"/>
                <w:sz w:val="18"/>
                <w:szCs w:val="18"/>
                <w:lang w:val="en-US" w:eastAsia="zh-CN"/>
              </w:rPr>
              <w:t>鱼体排列整齐，大小较均匀，允许添称小块</w:t>
            </w:r>
            <w:r>
              <w:rPr>
                <w:rFonts w:hint="eastAsia"/>
                <w:color w:val="000000" w:themeColor="text1"/>
                <w:kern w:val="0"/>
                <w:sz w:val="18"/>
                <w:szCs w:val="18"/>
                <w:lang w:val="en-US" w:eastAsia="zh-CN"/>
              </w:rPr>
              <w:t>，</w:t>
            </w:r>
            <w:r>
              <w:rPr>
                <w:rFonts w:hint="default" w:eastAsia="宋体"/>
                <w:color w:val="000000" w:themeColor="text1"/>
                <w:kern w:val="0"/>
                <w:sz w:val="18"/>
                <w:szCs w:val="18"/>
                <w:lang w:val="en-US" w:eastAsia="zh-CN"/>
              </w:rPr>
              <w:t>添称用碎鱼块不</w:t>
            </w:r>
            <w:r>
              <w:rPr>
                <w:rFonts w:hint="eastAsia"/>
                <w:color w:val="000000" w:themeColor="text1"/>
                <w:kern w:val="0"/>
                <w:sz w:val="18"/>
                <w:szCs w:val="18"/>
                <w:lang w:val="en-US" w:eastAsia="zh-CN"/>
              </w:rPr>
              <w:t>应</w:t>
            </w:r>
            <w:r>
              <w:rPr>
                <w:rFonts w:hint="default" w:eastAsia="宋体"/>
                <w:color w:val="000000" w:themeColor="text1"/>
                <w:kern w:val="0"/>
                <w:sz w:val="18"/>
                <w:szCs w:val="18"/>
                <w:lang w:val="en-US" w:eastAsia="zh-CN"/>
              </w:rPr>
              <w:t>超过净含量的10%</w:t>
            </w:r>
            <w:r>
              <w:rPr>
                <w:rFonts w:hint="eastAsia"/>
                <w:color w:val="000000" w:themeColor="text1"/>
                <w:kern w:val="0"/>
                <w:sz w:val="18"/>
                <w:szCs w:val="18"/>
                <w:lang w:val="en-US" w:eastAsia="zh-CN"/>
              </w:rPr>
              <w:t>；</w:t>
            </w:r>
          </w:p>
          <w:p>
            <w:pPr>
              <w:widowControl/>
              <w:jc w:val="left"/>
              <w:rPr>
                <w:rFonts w:hint="eastAsia" w:ascii="Times New Roman" w:hAnsi="Times New Roman" w:eastAsia="宋体" w:cs="Times New Roman"/>
                <w:color w:val="000000" w:themeColor="text1"/>
                <w:sz w:val="18"/>
                <w:szCs w:val="18"/>
                <w:lang w:val="zh-CN" w:eastAsia="zh-CN" w:bidi="ar-SA"/>
              </w:rPr>
            </w:pPr>
            <w:r>
              <w:rPr>
                <w:rFonts w:hint="default" w:eastAsia="宋体"/>
                <w:color w:val="000000" w:themeColor="text1"/>
                <w:kern w:val="0"/>
                <w:sz w:val="18"/>
                <w:szCs w:val="18"/>
                <w:lang w:val="en-US" w:eastAsia="zh-CN"/>
              </w:rPr>
              <w:t>段装</w:t>
            </w:r>
            <w:r>
              <w:rPr>
                <w:rFonts w:hint="eastAsia"/>
                <w:color w:val="000000" w:themeColor="text1"/>
                <w:kern w:val="0"/>
                <w:sz w:val="18"/>
                <w:szCs w:val="18"/>
                <w:lang w:val="en-US" w:eastAsia="zh-CN"/>
              </w:rPr>
              <w:t>：</w:t>
            </w:r>
            <w:r>
              <w:rPr>
                <w:rFonts w:hint="default" w:eastAsia="宋体"/>
                <w:color w:val="000000" w:themeColor="text1"/>
                <w:kern w:val="0"/>
                <w:sz w:val="18"/>
                <w:szCs w:val="18"/>
                <w:lang w:val="en-US" w:eastAsia="zh-CN"/>
              </w:rPr>
              <w:t>鱼体各部位搭配、块形大小较均匀,添称用碎鱼块不</w:t>
            </w:r>
            <w:r>
              <w:rPr>
                <w:rFonts w:hint="eastAsia"/>
                <w:color w:val="000000" w:themeColor="text1"/>
                <w:kern w:val="0"/>
                <w:sz w:val="18"/>
                <w:szCs w:val="18"/>
                <w:lang w:val="en-US" w:eastAsia="zh-CN"/>
              </w:rPr>
              <w:t>应</w:t>
            </w:r>
            <w:r>
              <w:rPr>
                <w:rFonts w:hint="default" w:eastAsia="宋体"/>
                <w:color w:val="000000" w:themeColor="text1"/>
                <w:kern w:val="0"/>
                <w:sz w:val="18"/>
                <w:szCs w:val="18"/>
                <w:lang w:val="en-US" w:eastAsia="zh-CN"/>
              </w:rPr>
              <w:t>超过净含量的10%</w:t>
            </w:r>
          </w:p>
        </w:tc>
        <w:tc>
          <w:tcPr>
            <w:tcW w:w="332" w:type="pct"/>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default" w:eastAsia="宋体"/>
                <w:color w:val="auto"/>
                <w:kern w:val="0"/>
                <w:sz w:val="18"/>
                <w:szCs w:val="18"/>
                <w:lang w:val="en-US" w:eastAsia="zh-CN"/>
              </w:rPr>
              <w:t>组织形态</w:t>
            </w:r>
          </w:p>
        </w:tc>
        <w:tc>
          <w:tcPr>
            <w:tcW w:w="1245" w:type="pct"/>
            <w:gridSpan w:val="2"/>
            <w:vAlign w:val="center"/>
          </w:tcPr>
          <w:p>
            <w:pPr>
              <w:widowControl/>
              <w:jc w:val="left"/>
              <w:rPr>
                <w:rFonts w:hint="eastAsia"/>
                <w:color w:val="auto"/>
                <w:kern w:val="0"/>
                <w:sz w:val="18"/>
                <w:szCs w:val="18"/>
                <w:lang w:val="en-US" w:eastAsia="zh-CN"/>
              </w:rPr>
            </w:pPr>
            <w:r>
              <w:rPr>
                <w:rFonts w:hint="default" w:eastAsia="宋体"/>
                <w:color w:val="auto"/>
                <w:kern w:val="0"/>
                <w:sz w:val="18"/>
                <w:szCs w:val="18"/>
                <w:lang w:val="en-US" w:eastAsia="zh-CN"/>
              </w:rPr>
              <w:t>鱼组织质地紧密,软硬及油炸适度</w:t>
            </w:r>
            <w:r>
              <w:rPr>
                <w:rFonts w:hint="eastAsia"/>
                <w:color w:val="auto"/>
                <w:kern w:val="0"/>
                <w:sz w:val="18"/>
                <w:szCs w:val="18"/>
                <w:lang w:val="en-US" w:eastAsia="zh-CN"/>
              </w:rPr>
              <w:t>；</w:t>
            </w:r>
          </w:p>
          <w:p>
            <w:pPr>
              <w:widowControl/>
              <w:jc w:val="left"/>
              <w:rPr>
                <w:rFonts w:hint="default" w:eastAsia="宋体"/>
                <w:color w:val="auto"/>
                <w:kern w:val="0"/>
                <w:sz w:val="18"/>
                <w:szCs w:val="18"/>
                <w:lang w:val="en-US" w:eastAsia="zh-CN"/>
              </w:rPr>
            </w:pPr>
            <w:r>
              <w:rPr>
                <w:rFonts w:hint="default" w:eastAsia="宋体"/>
                <w:color w:val="auto"/>
                <w:kern w:val="0"/>
                <w:sz w:val="18"/>
                <w:szCs w:val="18"/>
                <w:lang w:val="en-US" w:eastAsia="zh-CN"/>
              </w:rPr>
              <w:t>条装</w:t>
            </w:r>
            <w:r>
              <w:rPr>
                <w:rFonts w:hint="eastAsia"/>
                <w:color w:val="auto"/>
                <w:kern w:val="0"/>
                <w:sz w:val="18"/>
                <w:szCs w:val="18"/>
                <w:lang w:val="en-US" w:eastAsia="zh-CN"/>
              </w:rPr>
              <w:t>：</w:t>
            </w:r>
            <w:r>
              <w:rPr>
                <w:rFonts w:hint="default" w:eastAsia="宋体"/>
                <w:color w:val="auto"/>
                <w:kern w:val="0"/>
                <w:sz w:val="18"/>
                <w:szCs w:val="18"/>
                <w:lang w:val="en-US" w:eastAsia="zh-CN"/>
              </w:rPr>
              <w:t>鱼体排列整齐，大小较均匀，允许添称小块</w:t>
            </w:r>
            <w:r>
              <w:rPr>
                <w:rFonts w:hint="eastAsia"/>
                <w:color w:val="auto"/>
                <w:kern w:val="0"/>
                <w:sz w:val="18"/>
                <w:szCs w:val="18"/>
                <w:lang w:val="en-US" w:eastAsia="zh-CN"/>
              </w:rPr>
              <w:t>，</w:t>
            </w:r>
            <w:r>
              <w:rPr>
                <w:rFonts w:hint="default" w:eastAsia="宋体"/>
                <w:color w:val="auto"/>
                <w:kern w:val="0"/>
                <w:sz w:val="18"/>
                <w:szCs w:val="18"/>
                <w:lang w:val="en-US" w:eastAsia="zh-CN"/>
              </w:rPr>
              <w:t>添称用碎鱼块不</w:t>
            </w:r>
            <w:r>
              <w:rPr>
                <w:rFonts w:hint="eastAsia"/>
                <w:color w:val="auto"/>
                <w:kern w:val="0"/>
                <w:sz w:val="18"/>
                <w:szCs w:val="18"/>
                <w:lang w:val="en-US" w:eastAsia="zh-CN"/>
              </w:rPr>
              <w:t>应</w:t>
            </w:r>
            <w:r>
              <w:rPr>
                <w:rFonts w:hint="default" w:eastAsia="宋体"/>
                <w:color w:val="auto"/>
                <w:kern w:val="0"/>
                <w:sz w:val="18"/>
                <w:szCs w:val="18"/>
                <w:lang w:val="en-US" w:eastAsia="zh-CN"/>
              </w:rPr>
              <w:t>超过净含量的10%</w:t>
            </w:r>
            <w:r>
              <w:rPr>
                <w:rFonts w:hint="eastAsia"/>
                <w:color w:val="auto"/>
                <w:kern w:val="0"/>
                <w:sz w:val="18"/>
                <w:szCs w:val="18"/>
                <w:lang w:val="en-US" w:eastAsia="zh-CN"/>
              </w:rPr>
              <w:t>；</w:t>
            </w:r>
          </w:p>
          <w:p>
            <w:pPr>
              <w:widowControl/>
              <w:jc w:val="left"/>
              <w:rPr>
                <w:rFonts w:hint="eastAsia" w:ascii="Times New Roman" w:hAnsi="Times New Roman" w:eastAsia="宋体" w:cs="Times New Roman"/>
                <w:color w:val="auto"/>
                <w:sz w:val="18"/>
                <w:szCs w:val="18"/>
                <w:lang w:val="en-US" w:eastAsia="zh-CN" w:bidi="ar-SA"/>
              </w:rPr>
            </w:pPr>
            <w:r>
              <w:rPr>
                <w:rFonts w:hint="default" w:eastAsia="宋体"/>
                <w:color w:val="auto"/>
                <w:kern w:val="0"/>
                <w:sz w:val="18"/>
                <w:szCs w:val="18"/>
                <w:lang w:val="en-US" w:eastAsia="zh-CN"/>
              </w:rPr>
              <w:t>段装</w:t>
            </w:r>
            <w:r>
              <w:rPr>
                <w:rFonts w:hint="eastAsia"/>
                <w:color w:val="auto"/>
                <w:kern w:val="0"/>
                <w:sz w:val="18"/>
                <w:szCs w:val="18"/>
                <w:lang w:val="en-US" w:eastAsia="zh-CN"/>
              </w:rPr>
              <w:t>：</w:t>
            </w:r>
            <w:r>
              <w:rPr>
                <w:rFonts w:hint="default" w:eastAsia="宋体"/>
                <w:color w:val="auto"/>
                <w:kern w:val="0"/>
                <w:sz w:val="18"/>
                <w:szCs w:val="18"/>
                <w:lang w:val="en-US" w:eastAsia="zh-CN"/>
              </w:rPr>
              <w:t>鱼体各部位搭配、块形大小较均匀,添称用碎鱼块不</w:t>
            </w:r>
            <w:r>
              <w:rPr>
                <w:rFonts w:hint="eastAsia"/>
                <w:color w:val="auto"/>
                <w:kern w:val="0"/>
                <w:sz w:val="18"/>
                <w:szCs w:val="18"/>
                <w:lang w:val="en-US" w:eastAsia="zh-CN"/>
              </w:rPr>
              <w:t>应</w:t>
            </w:r>
            <w:r>
              <w:rPr>
                <w:rFonts w:hint="default" w:eastAsia="宋体"/>
                <w:color w:val="auto"/>
                <w:kern w:val="0"/>
                <w:sz w:val="18"/>
                <w:szCs w:val="18"/>
                <w:lang w:val="en-US" w:eastAsia="zh-CN"/>
              </w:rPr>
              <w:t>超过净含量的10%</w:t>
            </w:r>
          </w:p>
        </w:tc>
        <w:tc>
          <w:tcPr>
            <w:tcW w:w="706" w:type="pct"/>
            <w:shd w:val="clear" w:color="auto" w:fill="auto"/>
            <w:vAlign w:val="center"/>
          </w:tcPr>
          <w:p>
            <w:pPr>
              <w:keepNext w:val="0"/>
              <w:keepLines w:val="0"/>
              <w:pageBreakBefore w:val="0"/>
              <w:kinsoku/>
              <w:wordWrap/>
              <w:overflowPunct/>
              <w:topLinePunct w:val="0"/>
              <w:bidi w:val="0"/>
              <w:adjustRightInd w:val="0"/>
              <w:snapToGrid w:val="0"/>
              <w:jc w:val="center"/>
              <w:textAlignment w:val="auto"/>
              <w:rPr>
                <w:rFonts w:hint="eastAsia" w:ascii="宋体" w:hAnsi="宋体" w:eastAsia="宋体" w:cs="宋体"/>
                <w:spacing w:val="0"/>
                <w:sz w:val="18"/>
                <w:szCs w:val="18"/>
                <w:shd w:val="clear" w:color="auto" w:fill="auto"/>
                <w:lang w:eastAsia="zh-CN"/>
              </w:rPr>
            </w:pPr>
            <w:r>
              <w:rPr>
                <w:rFonts w:hint="eastAsia" w:ascii="宋体" w:hAnsi="宋体" w:cs="宋体"/>
                <w:spacing w:val="0"/>
                <w:sz w:val="18"/>
                <w:szCs w:val="18"/>
                <w:shd w:val="clear" w:color="auto" w:fill="auto"/>
                <w:lang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1"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618"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265" w:type="pct"/>
            <w:vAlign w:val="center"/>
          </w:tcPr>
          <w:p>
            <w:pPr>
              <w:widowControl/>
              <w:jc w:val="center"/>
              <w:rPr>
                <w:rFonts w:hint="eastAsia" w:ascii="Times New Roman" w:hAnsi="Times New Roman" w:eastAsia="宋体" w:cs="Times New Roman"/>
                <w:color w:val="auto"/>
                <w:kern w:val="0"/>
                <w:sz w:val="18"/>
                <w:szCs w:val="18"/>
                <w:lang w:val="zh-CN" w:eastAsia="zh-CN" w:bidi="ar-SA"/>
              </w:rPr>
            </w:pPr>
            <w:r>
              <w:rPr>
                <w:rFonts w:hint="default" w:eastAsia="宋体"/>
                <w:color w:val="auto"/>
                <w:kern w:val="0"/>
                <w:sz w:val="18"/>
                <w:szCs w:val="18"/>
                <w:lang w:val="en-US" w:eastAsia="zh-CN"/>
              </w:rPr>
              <w:t>杂质</w:t>
            </w:r>
          </w:p>
        </w:tc>
        <w:tc>
          <w:tcPr>
            <w:tcW w:w="1519" w:type="pct"/>
            <w:gridSpan w:val="3"/>
            <w:vAlign w:val="center"/>
          </w:tcPr>
          <w:p>
            <w:pPr>
              <w:widowControl/>
              <w:jc w:val="left"/>
              <w:rPr>
                <w:rFonts w:hint="eastAsia" w:ascii="Times New Roman" w:hAnsi="Times New Roman" w:eastAsia="宋体" w:cs="Times New Roman"/>
                <w:color w:val="auto"/>
                <w:kern w:val="0"/>
                <w:sz w:val="18"/>
                <w:szCs w:val="18"/>
                <w:lang w:val="zh-CN" w:eastAsia="zh-CN" w:bidi="ar-SA"/>
              </w:rPr>
            </w:pPr>
            <w:r>
              <w:rPr>
                <w:rFonts w:hint="default" w:eastAsia="宋体"/>
                <w:color w:val="auto"/>
                <w:kern w:val="0"/>
                <w:sz w:val="18"/>
                <w:szCs w:val="18"/>
                <w:lang w:val="en-US" w:eastAsia="zh-CN"/>
              </w:rPr>
              <w:t>无外来杂质</w:t>
            </w:r>
          </w:p>
        </w:tc>
        <w:tc>
          <w:tcPr>
            <w:tcW w:w="332" w:type="pct"/>
            <w:vAlign w:val="center"/>
          </w:tcPr>
          <w:p>
            <w:pPr>
              <w:widowControl/>
              <w:jc w:val="center"/>
              <w:rPr>
                <w:rFonts w:hint="eastAsia" w:ascii="Times New Roman" w:hAnsi="Times New Roman" w:eastAsia="宋体" w:cs="Times New Roman"/>
                <w:color w:val="auto"/>
                <w:kern w:val="0"/>
                <w:sz w:val="18"/>
                <w:szCs w:val="18"/>
                <w:lang w:val="zh-CN" w:eastAsia="zh-CN" w:bidi="ar-SA"/>
              </w:rPr>
            </w:pPr>
            <w:r>
              <w:rPr>
                <w:rFonts w:hint="default" w:eastAsia="宋体"/>
                <w:color w:val="auto"/>
                <w:kern w:val="0"/>
                <w:sz w:val="18"/>
                <w:szCs w:val="18"/>
                <w:lang w:val="en-US" w:eastAsia="zh-CN"/>
              </w:rPr>
              <w:t>杂质</w:t>
            </w:r>
          </w:p>
        </w:tc>
        <w:tc>
          <w:tcPr>
            <w:tcW w:w="1245" w:type="pct"/>
            <w:gridSpan w:val="2"/>
            <w:vAlign w:val="center"/>
          </w:tcPr>
          <w:p>
            <w:pPr>
              <w:widowControl/>
              <w:jc w:val="left"/>
              <w:rPr>
                <w:rFonts w:hint="eastAsia" w:ascii="Times New Roman" w:hAnsi="Times New Roman" w:eastAsia="宋体" w:cs="Times New Roman"/>
                <w:color w:val="auto"/>
                <w:kern w:val="0"/>
                <w:sz w:val="18"/>
                <w:szCs w:val="18"/>
                <w:lang w:val="zh-CN" w:eastAsia="zh-CN" w:bidi="ar-SA"/>
              </w:rPr>
            </w:pPr>
            <w:r>
              <w:rPr>
                <w:rFonts w:hint="default" w:eastAsia="宋体"/>
                <w:color w:val="auto"/>
                <w:kern w:val="0"/>
                <w:sz w:val="18"/>
                <w:szCs w:val="18"/>
                <w:lang w:val="en-US" w:eastAsia="zh-CN"/>
              </w:rPr>
              <w:t>无外来杂质</w:t>
            </w:r>
          </w:p>
        </w:tc>
        <w:tc>
          <w:tcPr>
            <w:tcW w:w="706" w:type="pct"/>
            <w:shd w:val="clear" w:color="auto" w:fill="auto"/>
            <w:vAlign w:val="center"/>
          </w:tcPr>
          <w:p>
            <w:pPr>
              <w:keepNext w:val="0"/>
              <w:keepLines w:val="0"/>
              <w:pageBreakBefore w:val="0"/>
              <w:kinsoku/>
              <w:wordWrap/>
              <w:overflowPunct/>
              <w:topLinePunct w:val="0"/>
              <w:bidi w:val="0"/>
              <w:adjustRightInd w:val="0"/>
              <w:snapToGrid w:val="0"/>
              <w:jc w:val="center"/>
              <w:textAlignment w:val="auto"/>
              <w:rPr>
                <w:rFonts w:hint="eastAsia" w:ascii="宋体" w:hAnsi="宋体" w:eastAsia="宋体" w:cs="宋体"/>
                <w:spacing w:val="0"/>
                <w:sz w:val="18"/>
                <w:szCs w:val="18"/>
                <w:shd w:val="clear" w:color="auto" w:fill="auto"/>
                <w:lang w:eastAsia="zh-CN"/>
              </w:rPr>
            </w:pPr>
            <w:r>
              <w:rPr>
                <w:rFonts w:hint="eastAsia" w:ascii="宋体" w:hAnsi="宋体" w:cs="宋体"/>
                <w:spacing w:val="0"/>
                <w:sz w:val="18"/>
                <w:szCs w:val="18"/>
                <w:shd w:val="clear" w:color="auto" w:fill="auto"/>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1"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618" w:type="pct"/>
            <w:vMerge w:val="restart"/>
            <w:shd w:val="clear" w:color="auto" w:fill="auto"/>
            <w:vAlign w:val="center"/>
          </w:tcPr>
          <w:p>
            <w:pPr>
              <w:keepNext w:val="0"/>
              <w:keepLines w:val="0"/>
              <w:pageBreakBefore w:val="0"/>
              <w:kinsoku/>
              <w:wordWrap/>
              <w:overflowPunct/>
              <w:topLinePunct w:val="0"/>
              <w:bidi w:val="0"/>
              <w:jc w:val="center"/>
              <w:textAlignment w:val="auto"/>
              <w:rPr>
                <w:rFonts w:hint="default" w:ascii="宋体" w:hAnsi="宋体" w:eastAsia="宋体" w:cs="宋体"/>
                <w:spacing w:val="0"/>
                <w:sz w:val="18"/>
                <w:szCs w:val="18"/>
                <w:shd w:val="clear" w:color="auto" w:fill="auto"/>
                <w:lang w:val="en-US" w:eastAsia="zh-CN"/>
              </w:rPr>
            </w:pPr>
            <w:r>
              <w:rPr>
                <w:rFonts w:hint="eastAsia" w:ascii="宋体" w:hAnsi="宋体" w:cs="宋体"/>
                <w:spacing w:val="0"/>
                <w:sz w:val="18"/>
                <w:szCs w:val="18"/>
                <w:shd w:val="clear" w:color="auto" w:fill="auto"/>
                <w:lang w:val="en-US" w:eastAsia="zh-CN"/>
              </w:rPr>
              <w:t>理化性能</w:t>
            </w:r>
          </w:p>
        </w:tc>
        <w:tc>
          <w:tcPr>
            <w:tcW w:w="598" w:type="pct"/>
            <w:gridSpan w:val="2"/>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项目</w:t>
            </w:r>
          </w:p>
        </w:tc>
        <w:tc>
          <w:tcPr>
            <w:tcW w:w="1186" w:type="pct"/>
            <w:gridSpan w:val="2"/>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理化指标</w:t>
            </w:r>
          </w:p>
        </w:tc>
        <w:tc>
          <w:tcPr>
            <w:tcW w:w="601" w:type="pct"/>
            <w:gridSpan w:val="2"/>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项目</w:t>
            </w:r>
          </w:p>
        </w:tc>
        <w:tc>
          <w:tcPr>
            <w:tcW w:w="975" w:type="pct"/>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理化指标（合格品）</w:t>
            </w:r>
          </w:p>
        </w:tc>
        <w:tc>
          <w:tcPr>
            <w:tcW w:w="706" w:type="pct"/>
            <w:shd w:val="clear" w:color="auto" w:fill="auto"/>
            <w:vAlign w:val="center"/>
          </w:tcPr>
          <w:p>
            <w:pPr>
              <w:keepNext w:val="0"/>
              <w:keepLines w:val="0"/>
              <w:pageBreakBefore w:val="0"/>
              <w:kinsoku/>
              <w:wordWrap/>
              <w:overflowPunct/>
              <w:topLinePunct w:val="0"/>
              <w:bidi w:val="0"/>
              <w:adjustRightInd w:val="0"/>
              <w:snapToGrid w:val="0"/>
              <w:jc w:val="center"/>
              <w:textAlignment w:val="auto"/>
              <w:rPr>
                <w:rFonts w:hint="eastAsia" w:ascii="宋体" w:hAnsi="宋体" w:eastAsia="宋体" w:cs="宋体"/>
                <w:spacing w:val="0"/>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1"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618"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598" w:type="pct"/>
            <w:gridSpan w:val="2"/>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固形物含量</w:t>
            </w:r>
          </w:p>
        </w:tc>
        <w:tc>
          <w:tcPr>
            <w:tcW w:w="1186" w:type="pct"/>
            <w:gridSpan w:val="2"/>
            <w:vAlign w:val="center"/>
          </w:tcPr>
          <w:p>
            <w:pPr>
              <w:widowControl/>
              <w:jc w:val="left"/>
              <w:rPr>
                <w:rFonts w:hint="default" w:ascii="Times New Roman" w:hAnsi="Times New Roman" w:eastAsia="宋体" w:cs="Times New Roman"/>
                <w:color w:val="auto"/>
                <w:kern w:val="0"/>
                <w:sz w:val="18"/>
                <w:szCs w:val="18"/>
                <w:lang w:val="en-US" w:eastAsia="zh-CN" w:bidi="ar-SA"/>
              </w:rPr>
            </w:pPr>
            <w:r>
              <w:rPr>
                <w:rFonts w:hint="eastAsia" w:ascii="宋体" w:hAnsi="宋体" w:eastAsia="宋体" w:cs="宋体"/>
                <w:color w:val="auto"/>
                <w:kern w:val="0"/>
                <w:sz w:val="18"/>
                <w:szCs w:val="18"/>
                <w:lang w:eastAsia="zh-CN"/>
              </w:rPr>
              <w:t>≥</w:t>
            </w:r>
            <w:r>
              <w:rPr>
                <w:rFonts w:hint="eastAsia"/>
                <w:color w:val="auto"/>
                <w:kern w:val="0"/>
                <w:sz w:val="18"/>
                <w:szCs w:val="18"/>
                <w:lang w:val="en-US" w:eastAsia="zh-CN"/>
              </w:rPr>
              <w:t>93%；</w:t>
            </w:r>
            <w:r>
              <w:rPr>
                <w:rFonts w:hint="eastAsia"/>
                <w:color w:val="auto"/>
                <w:kern w:val="0"/>
                <w:sz w:val="18"/>
                <w:szCs w:val="18"/>
                <w:lang w:eastAsia="zh-CN"/>
              </w:rPr>
              <w:t>其中鱼含量</w:t>
            </w:r>
            <w:r>
              <w:rPr>
                <w:rFonts w:hint="eastAsia" w:ascii="宋体" w:hAnsi="宋体" w:eastAsia="宋体" w:cs="宋体"/>
                <w:color w:val="auto"/>
                <w:kern w:val="0"/>
                <w:sz w:val="18"/>
                <w:szCs w:val="18"/>
                <w:lang w:eastAsia="zh-CN"/>
              </w:rPr>
              <w:t>≥</w:t>
            </w:r>
            <w:r>
              <w:rPr>
                <w:rFonts w:hint="eastAsia"/>
                <w:color w:val="auto"/>
                <w:kern w:val="0"/>
                <w:sz w:val="18"/>
                <w:szCs w:val="18"/>
                <w:lang w:val="en-US" w:eastAsia="zh-CN"/>
              </w:rPr>
              <w:t>50</w:t>
            </w:r>
            <w:r>
              <w:rPr>
                <w:rFonts w:hint="eastAsia"/>
                <w:color w:val="auto"/>
                <w:kern w:val="0"/>
                <w:sz w:val="18"/>
                <w:szCs w:val="18"/>
                <w:lang w:eastAsia="zh-CN"/>
              </w:rPr>
              <w:t>%，豆豉含量</w:t>
            </w:r>
            <w:r>
              <w:rPr>
                <w:rFonts w:hint="eastAsia" w:ascii="宋体" w:hAnsi="宋体" w:eastAsia="宋体" w:cs="宋体"/>
                <w:color w:val="auto"/>
                <w:kern w:val="0"/>
                <w:sz w:val="18"/>
                <w:szCs w:val="18"/>
                <w:lang w:eastAsia="zh-CN"/>
              </w:rPr>
              <w:t>≥</w:t>
            </w:r>
            <w:r>
              <w:rPr>
                <w:rFonts w:hint="eastAsia"/>
                <w:color w:val="auto"/>
                <w:kern w:val="0"/>
                <w:sz w:val="18"/>
                <w:szCs w:val="18"/>
                <w:lang w:eastAsia="zh-CN"/>
              </w:rPr>
              <w:t>15%</w:t>
            </w:r>
          </w:p>
        </w:tc>
        <w:tc>
          <w:tcPr>
            <w:tcW w:w="601" w:type="pct"/>
            <w:gridSpan w:val="2"/>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固形物含量</w:t>
            </w:r>
          </w:p>
        </w:tc>
        <w:tc>
          <w:tcPr>
            <w:tcW w:w="975" w:type="pct"/>
            <w:vAlign w:val="center"/>
          </w:tcPr>
          <w:p>
            <w:pPr>
              <w:widowControl/>
              <w:jc w:val="left"/>
              <w:rPr>
                <w:rFonts w:hint="eastAsia" w:ascii="Times New Roman" w:hAnsi="Times New Roman" w:eastAsia="宋体" w:cs="Times New Roman"/>
                <w:color w:val="auto"/>
                <w:kern w:val="0"/>
                <w:sz w:val="18"/>
                <w:szCs w:val="18"/>
                <w:lang w:val="en-US" w:eastAsia="zh-CN" w:bidi="ar-SA"/>
              </w:rPr>
            </w:pPr>
            <w:r>
              <w:rPr>
                <w:rFonts w:hint="eastAsia" w:ascii="宋体" w:hAnsi="宋体" w:eastAsia="宋体" w:cs="宋体"/>
                <w:color w:val="auto"/>
                <w:kern w:val="0"/>
                <w:sz w:val="18"/>
                <w:szCs w:val="18"/>
                <w:lang w:eastAsia="zh-CN"/>
              </w:rPr>
              <w:t>≥</w:t>
            </w:r>
            <w:r>
              <w:rPr>
                <w:rFonts w:hint="eastAsia"/>
                <w:color w:val="auto"/>
                <w:kern w:val="0"/>
                <w:sz w:val="18"/>
                <w:szCs w:val="18"/>
                <w:lang w:val="en-US" w:eastAsia="zh-CN"/>
              </w:rPr>
              <w:t>90%；</w:t>
            </w:r>
            <w:r>
              <w:rPr>
                <w:rFonts w:hint="eastAsia"/>
                <w:color w:val="auto"/>
                <w:kern w:val="0"/>
                <w:sz w:val="18"/>
                <w:szCs w:val="18"/>
                <w:lang w:eastAsia="zh-CN"/>
              </w:rPr>
              <w:t>其中鱼含量</w:t>
            </w:r>
            <w:r>
              <w:rPr>
                <w:rFonts w:hint="eastAsia" w:ascii="宋体" w:hAnsi="宋体" w:eastAsia="宋体" w:cs="宋体"/>
                <w:color w:val="auto"/>
                <w:kern w:val="0"/>
                <w:sz w:val="18"/>
                <w:szCs w:val="18"/>
                <w:lang w:eastAsia="zh-CN"/>
              </w:rPr>
              <w:t>≥</w:t>
            </w:r>
            <w:r>
              <w:rPr>
                <w:rFonts w:hint="eastAsia"/>
                <w:color w:val="auto"/>
                <w:kern w:val="0"/>
                <w:sz w:val="18"/>
                <w:szCs w:val="18"/>
                <w:lang w:val="en-US" w:eastAsia="zh-CN"/>
              </w:rPr>
              <w:t>5</w:t>
            </w:r>
            <w:r>
              <w:rPr>
                <w:rFonts w:hint="eastAsia"/>
                <w:color w:val="auto"/>
                <w:kern w:val="0"/>
                <w:sz w:val="18"/>
                <w:szCs w:val="18"/>
                <w:lang w:eastAsia="zh-CN"/>
              </w:rPr>
              <w:t>0%，豆豉含量</w:t>
            </w:r>
            <w:r>
              <w:rPr>
                <w:rFonts w:hint="eastAsia" w:ascii="宋体" w:hAnsi="宋体" w:eastAsia="宋体" w:cs="宋体"/>
                <w:color w:val="auto"/>
                <w:kern w:val="0"/>
                <w:sz w:val="18"/>
                <w:szCs w:val="18"/>
                <w:lang w:eastAsia="zh-CN"/>
              </w:rPr>
              <w:t>≥</w:t>
            </w:r>
            <w:r>
              <w:rPr>
                <w:rFonts w:hint="eastAsia"/>
                <w:color w:val="auto"/>
                <w:kern w:val="0"/>
                <w:sz w:val="18"/>
                <w:szCs w:val="18"/>
                <w:lang w:eastAsia="zh-CN"/>
              </w:rPr>
              <w:t>15%</w:t>
            </w:r>
          </w:p>
        </w:tc>
        <w:tc>
          <w:tcPr>
            <w:tcW w:w="706" w:type="pct"/>
            <w:shd w:val="clear" w:color="auto" w:fill="auto"/>
            <w:vAlign w:val="center"/>
          </w:tcPr>
          <w:p>
            <w:pPr>
              <w:keepNext w:val="0"/>
              <w:keepLines w:val="0"/>
              <w:pageBreakBefore w:val="0"/>
              <w:kinsoku/>
              <w:wordWrap/>
              <w:overflowPunct/>
              <w:topLinePunct w:val="0"/>
              <w:bidi w:val="0"/>
              <w:adjustRightInd w:val="0"/>
              <w:snapToGrid w:val="0"/>
              <w:jc w:val="center"/>
              <w:textAlignment w:val="auto"/>
              <w:rPr>
                <w:rFonts w:hint="eastAsia" w:ascii="宋体" w:hAnsi="宋体" w:eastAsia="宋体" w:cs="宋体"/>
                <w:spacing w:val="0"/>
                <w:sz w:val="18"/>
                <w:szCs w:val="18"/>
                <w:shd w:val="clear" w:color="auto" w:fill="auto"/>
                <w:lang w:eastAsia="zh-CN"/>
              </w:rPr>
            </w:pPr>
            <w:r>
              <w:rPr>
                <w:rFonts w:hint="eastAsia" w:ascii="宋体" w:hAnsi="宋体" w:cs="宋体"/>
                <w:spacing w:val="0"/>
                <w:sz w:val="18"/>
                <w:szCs w:val="18"/>
                <w:shd w:val="clear" w:color="auto" w:fill="auto"/>
                <w:lang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618"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598" w:type="pct"/>
            <w:gridSpan w:val="2"/>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氯化钠含量</w:t>
            </w:r>
          </w:p>
        </w:tc>
        <w:tc>
          <w:tcPr>
            <w:tcW w:w="1186" w:type="pct"/>
            <w:gridSpan w:val="2"/>
            <w:vAlign w:val="center"/>
          </w:tcPr>
          <w:p>
            <w:pPr>
              <w:widowControl/>
              <w:jc w:val="left"/>
              <w:rPr>
                <w:rFonts w:hint="default" w:ascii="Times New Roman" w:hAnsi="Times New Roman" w:eastAsia="宋体" w:cs="Times New Roman"/>
                <w:color w:val="auto"/>
                <w:kern w:val="0"/>
                <w:sz w:val="18"/>
                <w:szCs w:val="18"/>
                <w:lang w:val="en-US" w:eastAsia="zh-CN" w:bidi="ar-SA"/>
              </w:rPr>
            </w:pPr>
            <w:r>
              <w:rPr>
                <w:rFonts w:hint="eastAsia" w:ascii="宋体" w:hAnsi="宋体" w:eastAsia="宋体" w:cs="宋体"/>
                <w:color w:val="auto"/>
                <w:kern w:val="0"/>
                <w:sz w:val="18"/>
                <w:szCs w:val="18"/>
                <w:lang w:val="en-US" w:eastAsia="zh-CN"/>
              </w:rPr>
              <w:t>≤</w:t>
            </w:r>
            <w:r>
              <w:rPr>
                <w:rFonts w:hint="eastAsia"/>
                <w:color w:val="auto"/>
                <w:kern w:val="0"/>
                <w:sz w:val="18"/>
                <w:szCs w:val="18"/>
                <w:lang w:val="en-US" w:eastAsia="zh-CN"/>
              </w:rPr>
              <w:t>5.5%</w:t>
            </w:r>
          </w:p>
        </w:tc>
        <w:tc>
          <w:tcPr>
            <w:tcW w:w="601" w:type="pct"/>
            <w:gridSpan w:val="2"/>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氯化钠含量</w:t>
            </w:r>
          </w:p>
        </w:tc>
        <w:tc>
          <w:tcPr>
            <w:tcW w:w="975" w:type="pct"/>
            <w:vAlign w:val="center"/>
          </w:tcPr>
          <w:p>
            <w:pPr>
              <w:widowControl/>
              <w:jc w:val="left"/>
              <w:rPr>
                <w:rFonts w:hint="eastAsia" w:ascii="Times New Roman" w:hAnsi="Times New Roman" w:eastAsia="宋体" w:cs="Times New Roman"/>
                <w:color w:val="auto"/>
                <w:kern w:val="0"/>
                <w:sz w:val="18"/>
                <w:szCs w:val="18"/>
                <w:lang w:val="en-US" w:eastAsia="zh-CN" w:bidi="ar-SA"/>
              </w:rPr>
            </w:pPr>
            <w:r>
              <w:rPr>
                <w:rFonts w:hint="eastAsia" w:ascii="宋体" w:hAnsi="宋体" w:eastAsia="宋体" w:cs="宋体"/>
                <w:color w:val="auto"/>
                <w:kern w:val="0"/>
                <w:sz w:val="18"/>
                <w:szCs w:val="18"/>
                <w:lang w:val="en-US" w:eastAsia="zh-CN"/>
              </w:rPr>
              <w:t>≤</w:t>
            </w:r>
            <w:r>
              <w:rPr>
                <w:rFonts w:hint="eastAsia"/>
                <w:color w:val="auto"/>
                <w:kern w:val="0"/>
                <w:sz w:val="18"/>
                <w:szCs w:val="18"/>
                <w:lang w:val="en-US" w:eastAsia="zh-CN"/>
              </w:rPr>
              <w:t>6.5%</w:t>
            </w:r>
          </w:p>
        </w:tc>
        <w:tc>
          <w:tcPr>
            <w:tcW w:w="706" w:type="pct"/>
            <w:shd w:val="clear" w:color="auto" w:fill="auto"/>
            <w:vAlign w:val="center"/>
          </w:tcPr>
          <w:p>
            <w:pPr>
              <w:keepNext w:val="0"/>
              <w:keepLines w:val="0"/>
              <w:pageBreakBefore w:val="0"/>
              <w:kinsoku/>
              <w:wordWrap/>
              <w:overflowPunct/>
              <w:topLinePunct w:val="0"/>
              <w:bidi w:val="0"/>
              <w:adjustRightInd w:val="0"/>
              <w:snapToGrid w:val="0"/>
              <w:jc w:val="center"/>
              <w:textAlignment w:val="auto"/>
              <w:rPr>
                <w:rFonts w:hint="eastAsia" w:ascii="宋体" w:hAnsi="宋体" w:eastAsia="宋体" w:cs="宋体"/>
                <w:spacing w:val="0"/>
                <w:sz w:val="18"/>
                <w:szCs w:val="18"/>
                <w:shd w:val="clear" w:color="auto" w:fill="auto"/>
                <w:lang w:eastAsia="zh-CN"/>
              </w:rPr>
            </w:pPr>
            <w:r>
              <w:rPr>
                <w:rFonts w:hint="eastAsia" w:ascii="宋体" w:hAnsi="宋体" w:cs="宋体"/>
                <w:spacing w:val="0"/>
                <w:sz w:val="18"/>
                <w:szCs w:val="18"/>
                <w:shd w:val="clear" w:color="auto" w:fill="auto"/>
                <w:lang w:eastAsia="zh-CN"/>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618"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1784" w:type="pct"/>
            <w:gridSpan w:val="4"/>
            <w:vAlign w:val="center"/>
          </w:tcPr>
          <w:p>
            <w:pPr>
              <w:widowControl/>
              <w:jc w:val="left"/>
              <w:rPr>
                <w:rFonts w:hint="eastAsia" w:ascii="宋体" w:hAnsi="宋体" w:eastAsia="宋体" w:cs="宋体"/>
                <w:color w:val="auto"/>
                <w:kern w:val="0"/>
                <w:sz w:val="18"/>
                <w:szCs w:val="18"/>
                <w:lang w:val="en-US" w:eastAsia="zh-CN"/>
              </w:rPr>
            </w:pPr>
            <w:r>
              <w:rPr>
                <w:rFonts w:hint="eastAsia"/>
                <w:color w:val="auto"/>
                <w:kern w:val="0"/>
                <w:sz w:val="18"/>
                <w:szCs w:val="18"/>
                <w:lang w:val="en-US" w:eastAsia="zh-CN"/>
              </w:rPr>
              <w:t>注：鱼含量应大于其他任一固形物的含量。</w:t>
            </w:r>
          </w:p>
        </w:tc>
        <w:tc>
          <w:tcPr>
            <w:tcW w:w="1577" w:type="pct"/>
            <w:gridSpan w:val="3"/>
            <w:vAlign w:val="center"/>
          </w:tcPr>
          <w:p>
            <w:pPr>
              <w:keepNext w:val="0"/>
              <w:keepLines w:val="0"/>
              <w:pageBreakBefore w:val="0"/>
              <w:kinsoku/>
              <w:wordWrap/>
              <w:overflowPunct/>
              <w:topLinePunct w:val="0"/>
              <w:bidi w:val="0"/>
              <w:adjustRightInd w:val="0"/>
              <w:snapToGrid w:val="0"/>
              <w:jc w:val="left"/>
              <w:textAlignment w:val="auto"/>
              <w:rPr>
                <w:rFonts w:hint="eastAsia" w:ascii="宋体" w:hAnsi="宋体" w:eastAsia="宋体" w:cs="宋体"/>
                <w:spacing w:val="0"/>
                <w:sz w:val="18"/>
                <w:szCs w:val="18"/>
                <w:shd w:val="clear" w:color="auto" w:fill="auto"/>
                <w:lang w:eastAsia="zh-CN"/>
              </w:rPr>
            </w:pPr>
            <w:r>
              <w:rPr>
                <w:rFonts w:hint="eastAsia"/>
                <w:color w:val="auto"/>
                <w:kern w:val="0"/>
                <w:sz w:val="18"/>
                <w:szCs w:val="18"/>
                <w:lang w:val="en-US" w:eastAsia="zh-CN"/>
              </w:rPr>
              <w:t>注：鱼含量应大于其他任一固形物的含量。</w:t>
            </w:r>
          </w:p>
        </w:tc>
        <w:tc>
          <w:tcPr>
            <w:tcW w:w="706" w:type="pct"/>
            <w:shd w:val="clear" w:color="auto" w:fill="auto"/>
            <w:vAlign w:val="center"/>
          </w:tcPr>
          <w:p>
            <w:pPr>
              <w:widowControl/>
              <w:jc w:val="left"/>
              <w:rPr>
                <w:rFonts w:hint="eastAsia" w:ascii="宋体" w:hAnsi="宋体" w:eastAsia="宋体" w:cs="宋体"/>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atLeast"/>
          <w:jc w:val="center"/>
        </w:trPr>
        <w:tc>
          <w:tcPr>
            <w:tcW w:w="313" w:type="pct"/>
            <w:vMerge w:val="restart"/>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en-US" w:eastAsia="zh-CN"/>
              </w:rPr>
            </w:pPr>
            <w:r>
              <w:rPr>
                <w:rFonts w:hint="eastAsia" w:ascii="宋体" w:hAnsi="宋体" w:cs="宋体"/>
                <w:spacing w:val="0"/>
                <w:sz w:val="18"/>
                <w:szCs w:val="18"/>
                <w:shd w:val="clear" w:color="auto" w:fill="auto"/>
                <w:lang w:val="en-US" w:eastAsia="zh-CN"/>
              </w:rPr>
              <w:t>创新指标</w:t>
            </w:r>
          </w:p>
        </w:tc>
        <w:tc>
          <w:tcPr>
            <w:tcW w:w="618" w:type="pct"/>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r>
              <w:rPr>
                <w:rFonts w:hint="eastAsia" w:ascii="宋体" w:hAnsi="宋体" w:cs="宋体"/>
                <w:spacing w:val="0"/>
                <w:sz w:val="18"/>
                <w:szCs w:val="18"/>
                <w:shd w:val="clear" w:color="auto" w:fill="auto"/>
                <w:lang w:val="zh-CN" w:eastAsia="zh-CN"/>
              </w:rPr>
              <w:t>理化指标</w:t>
            </w:r>
          </w:p>
        </w:tc>
        <w:tc>
          <w:tcPr>
            <w:tcW w:w="1784" w:type="pct"/>
            <w:gridSpan w:val="4"/>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亚硝酸盐</w:t>
            </w:r>
            <w:r>
              <w:rPr>
                <w:rFonts w:hint="eastAsia"/>
                <w:color w:val="auto"/>
                <w:kern w:val="0"/>
                <w:sz w:val="18"/>
                <w:szCs w:val="18"/>
                <w:lang w:val="en-US" w:eastAsia="zh-CN"/>
              </w:rPr>
              <w:t xml:space="preserve"> </w:t>
            </w:r>
            <w:r>
              <w:rPr>
                <w:rFonts w:hint="eastAsia" w:ascii="宋体" w:hAnsi="宋体" w:eastAsia="宋体" w:cs="宋体"/>
                <w:color w:val="auto"/>
                <w:kern w:val="0"/>
                <w:sz w:val="18"/>
                <w:szCs w:val="18"/>
                <w:lang w:val="en-US" w:eastAsia="zh-CN"/>
              </w:rPr>
              <w:t>≤3.0</w:t>
            </w:r>
          </w:p>
        </w:tc>
        <w:tc>
          <w:tcPr>
            <w:tcW w:w="1577" w:type="pct"/>
            <w:gridSpan w:val="3"/>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w:t>
            </w:r>
          </w:p>
        </w:tc>
        <w:tc>
          <w:tcPr>
            <w:tcW w:w="706" w:type="pct"/>
            <w:shd w:val="clear" w:color="auto" w:fill="auto"/>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1"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en-US" w:eastAsia="zh-CN"/>
              </w:rPr>
            </w:pPr>
          </w:p>
        </w:tc>
        <w:tc>
          <w:tcPr>
            <w:tcW w:w="618" w:type="pct"/>
            <w:vMerge w:val="restart"/>
            <w:shd w:val="clear" w:color="auto" w:fill="auto"/>
            <w:vAlign w:val="center"/>
          </w:tcPr>
          <w:p>
            <w:pPr>
              <w:pStyle w:val="42"/>
              <w:numPr>
                <w:ilvl w:val="2"/>
                <w:numId w:val="0"/>
              </w:numPr>
              <w:spacing w:before="156" w:after="156"/>
              <w:ind w:leftChars="0"/>
              <w:jc w:val="center"/>
              <w:rPr>
                <w:rFonts w:hint="eastAsia" w:ascii="宋体" w:hAnsi="宋体" w:eastAsia="宋体" w:cs="宋体"/>
                <w:spacing w:val="0"/>
                <w:sz w:val="18"/>
                <w:szCs w:val="18"/>
                <w:shd w:val="clear" w:color="auto" w:fill="auto"/>
                <w:lang w:val="zh-CN" w:eastAsia="zh-CN"/>
              </w:rPr>
            </w:pPr>
            <w:r>
              <w:rPr>
                <w:rFonts w:hint="eastAsia" w:ascii="宋体" w:hAnsi="宋体" w:eastAsia="宋体" w:cs="宋体"/>
                <w:color w:val="auto"/>
                <w:sz w:val="18"/>
                <w:szCs w:val="18"/>
                <w:lang w:eastAsia="zh-CN"/>
              </w:rPr>
              <w:t>食品安全</w:t>
            </w:r>
          </w:p>
        </w:tc>
        <w:tc>
          <w:tcPr>
            <w:tcW w:w="1784" w:type="pct"/>
            <w:gridSpan w:val="4"/>
            <w:vAlign w:val="center"/>
          </w:tcPr>
          <w:p>
            <w:pPr>
              <w:widowControl/>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应符合</w:t>
            </w:r>
            <w:r>
              <w:rPr>
                <w:rFonts w:hint="eastAsia" w:ascii="宋体" w:hAnsi="宋体" w:eastAsia="宋体" w:cs="宋体"/>
                <w:color w:val="auto"/>
                <w:sz w:val="18"/>
                <w:szCs w:val="18"/>
              </w:rPr>
              <w:t>GB 7098</w:t>
            </w:r>
            <w:r>
              <w:rPr>
                <w:rFonts w:hint="eastAsia" w:ascii="宋体" w:hAnsi="宋体" w:eastAsia="宋体" w:cs="宋体"/>
                <w:color w:val="auto"/>
                <w:sz w:val="18"/>
                <w:szCs w:val="18"/>
                <w:lang w:eastAsia="zh-CN"/>
              </w:rPr>
              <w:t>和表</w:t>
            </w: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lang w:eastAsia="zh-CN"/>
              </w:rPr>
              <w:t>的要求</w:t>
            </w:r>
            <w:r>
              <w:rPr>
                <w:rFonts w:hint="eastAsia" w:ascii="宋体" w:hAnsi="宋体" w:eastAsia="宋体" w:cs="宋体"/>
                <w:color w:val="auto"/>
                <w:sz w:val="18"/>
                <w:szCs w:val="18"/>
                <w:lang w:val="en-US" w:eastAsia="zh-CN"/>
              </w:rPr>
              <w:t>。</w:t>
            </w:r>
          </w:p>
          <w:p>
            <w:pPr>
              <w:widowControl/>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表</w:t>
            </w:r>
            <w:r>
              <w:rPr>
                <w:rFonts w:hint="eastAsia" w:ascii="宋体" w:hAnsi="宋体" w:eastAsia="宋体" w:cs="宋体"/>
                <w:color w:val="auto"/>
                <w:sz w:val="18"/>
                <w:szCs w:val="18"/>
                <w:lang w:val="en-US" w:eastAsia="zh-CN"/>
              </w:rPr>
              <w:t>3</w:t>
            </w:r>
          </w:p>
        </w:tc>
        <w:tc>
          <w:tcPr>
            <w:tcW w:w="1577" w:type="pct"/>
            <w:gridSpan w:val="3"/>
            <w:vMerge w:val="restart"/>
            <w:vAlign w:val="center"/>
          </w:tcPr>
          <w:p>
            <w:pPr>
              <w:keepNext w:val="0"/>
              <w:keepLines w:val="0"/>
              <w:pageBreakBefore w:val="0"/>
              <w:kinsoku/>
              <w:wordWrap/>
              <w:overflowPunct/>
              <w:topLinePunct w:val="0"/>
              <w:bidi w:val="0"/>
              <w:adjustRightInd w:val="0"/>
              <w:snapToGrid w:val="0"/>
              <w:jc w:val="center"/>
              <w:textAlignment w:val="auto"/>
              <w:rPr>
                <w:rFonts w:hint="eastAsia"/>
                <w:color w:val="auto"/>
                <w:kern w:val="0"/>
                <w:sz w:val="18"/>
                <w:szCs w:val="18"/>
                <w:lang w:val="en-US" w:eastAsia="zh-CN"/>
              </w:rPr>
            </w:pPr>
            <w:r>
              <w:rPr>
                <w:rFonts w:hint="eastAsia"/>
                <w:color w:val="auto"/>
                <w:kern w:val="0"/>
                <w:sz w:val="18"/>
                <w:szCs w:val="18"/>
                <w:lang w:val="en-US" w:eastAsia="zh-CN"/>
              </w:rPr>
              <w:t>——</w:t>
            </w:r>
          </w:p>
        </w:tc>
        <w:tc>
          <w:tcPr>
            <w:tcW w:w="706" w:type="pct"/>
            <w:vMerge w:val="restart"/>
            <w:shd w:val="clear" w:color="auto" w:fill="auto"/>
            <w:vAlign w:val="center"/>
          </w:tcPr>
          <w:p>
            <w:pPr>
              <w:keepNext w:val="0"/>
              <w:keepLines w:val="0"/>
              <w:pageBreakBefore w:val="0"/>
              <w:kinsoku/>
              <w:wordWrap/>
              <w:overflowPunct/>
              <w:topLinePunct w:val="0"/>
              <w:bidi w:val="0"/>
              <w:adjustRightInd w:val="0"/>
              <w:snapToGrid w:val="0"/>
              <w:jc w:val="center"/>
              <w:textAlignment w:val="auto"/>
              <w:rPr>
                <w:rFonts w:hint="eastAsia" w:ascii="宋体" w:hAnsi="宋体" w:eastAsia="宋体" w:cs="宋体"/>
                <w:spacing w:val="0"/>
                <w:sz w:val="18"/>
                <w:szCs w:val="18"/>
                <w:shd w:val="clear" w:color="auto" w:fill="auto"/>
                <w:lang w:val="en-US" w:eastAsia="zh-CN"/>
              </w:rPr>
            </w:pPr>
            <w:r>
              <w:rPr>
                <w:rFonts w:hint="eastAsia" w:ascii="宋体" w:hAnsi="宋体" w:cs="宋体"/>
                <w:spacing w:val="0"/>
                <w:sz w:val="18"/>
                <w:szCs w:val="18"/>
                <w:shd w:val="clear" w:color="auto" w:fill="auto"/>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8"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618"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1096" w:type="pct"/>
            <w:gridSpan w:val="3"/>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项目</w:t>
            </w:r>
          </w:p>
        </w:tc>
        <w:tc>
          <w:tcPr>
            <w:tcW w:w="688" w:type="pct"/>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指标</w:t>
            </w:r>
          </w:p>
        </w:tc>
        <w:tc>
          <w:tcPr>
            <w:tcW w:w="1577" w:type="pct"/>
            <w:gridSpan w:val="3"/>
            <w:vMerge w:val="continue"/>
            <w:vAlign w:val="center"/>
          </w:tcPr>
          <w:p>
            <w:pPr>
              <w:keepNext w:val="0"/>
              <w:keepLines w:val="0"/>
              <w:pageBreakBefore w:val="0"/>
              <w:kinsoku/>
              <w:wordWrap/>
              <w:overflowPunct/>
              <w:topLinePunct w:val="0"/>
              <w:bidi w:val="0"/>
              <w:adjustRightInd w:val="0"/>
              <w:snapToGrid w:val="0"/>
              <w:jc w:val="left"/>
              <w:textAlignment w:val="auto"/>
              <w:rPr>
                <w:rFonts w:hint="eastAsia" w:ascii="宋体" w:hAnsi="宋体" w:eastAsia="宋体" w:cs="宋体"/>
                <w:spacing w:val="0"/>
                <w:sz w:val="18"/>
                <w:szCs w:val="18"/>
                <w:shd w:val="clear" w:color="auto" w:fill="auto"/>
                <w:lang w:eastAsia="zh-CN"/>
              </w:rPr>
            </w:pPr>
          </w:p>
        </w:tc>
        <w:tc>
          <w:tcPr>
            <w:tcW w:w="706" w:type="pct"/>
            <w:vMerge w:val="continue"/>
            <w:shd w:val="clear" w:color="auto" w:fill="auto"/>
            <w:vAlign w:val="center"/>
          </w:tcPr>
          <w:p>
            <w:pPr>
              <w:keepNext w:val="0"/>
              <w:keepLines w:val="0"/>
              <w:pageBreakBefore w:val="0"/>
              <w:kinsoku/>
              <w:wordWrap/>
              <w:overflowPunct/>
              <w:topLinePunct w:val="0"/>
              <w:bidi w:val="0"/>
              <w:adjustRightInd w:val="0"/>
              <w:snapToGrid w:val="0"/>
              <w:jc w:val="center"/>
              <w:textAlignment w:val="auto"/>
              <w:rPr>
                <w:rFonts w:hint="eastAsia" w:ascii="宋体" w:hAnsi="宋体" w:eastAsia="宋体" w:cs="宋体"/>
                <w:spacing w:val="0"/>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618"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1096" w:type="pct"/>
            <w:gridSpan w:val="3"/>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eastAsia="zh-CN"/>
              </w:rPr>
              <w:t>锡</w:t>
            </w:r>
            <w:r>
              <w:rPr>
                <w:rFonts w:hint="default"/>
                <w:color w:val="auto"/>
                <w:kern w:val="0"/>
                <w:sz w:val="18"/>
                <w:szCs w:val="18"/>
                <w:vertAlign w:val="superscript"/>
                <w:lang w:val="en-US" w:eastAsia="zh-CN"/>
              </w:rPr>
              <w:t>a</w:t>
            </w:r>
            <w:r>
              <w:rPr>
                <w:rFonts w:hint="eastAsia"/>
                <w:color w:val="auto"/>
                <w:kern w:val="0"/>
                <w:sz w:val="18"/>
                <w:szCs w:val="18"/>
                <w:lang w:eastAsia="zh-CN"/>
              </w:rPr>
              <w:t>（镀锡罐头）</w:t>
            </w:r>
          </w:p>
        </w:tc>
        <w:tc>
          <w:tcPr>
            <w:tcW w:w="688" w:type="pct"/>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20</w:t>
            </w:r>
            <w:bookmarkStart w:id="5" w:name="_GoBack"/>
            <w:bookmarkEnd w:id="5"/>
            <w:r>
              <w:rPr>
                <w:rFonts w:hint="eastAsia" w:ascii="宋体" w:hAnsi="宋体" w:eastAsia="宋体" w:cs="宋体"/>
                <w:color w:val="auto"/>
                <w:kern w:val="0"/>
                <w:sz w:val="18"/>
                <w:szCs w:val="18"/>
                <w:lang w:val="en-US" w:eastAsia="zh-CN"/>
              </w:rPr>
              <w:t>0</w:t>
            </w:r>
          </w:p>
        </w:tc>
        <w:tc>
          <w:tcPr>
            <w:tcW w:w="1577" w:type="pct"/>
            <w:gridSpan w:val="3"/>
            <w:vMerge w:val="continue"/>
            <w:vAlign w:val="center"/>
          </w:tcPr>
          <w:p>
            <w:pPr>
              <w:keepNext w:val="0"/>
              <w:keepLines w:val="0"/>
              <w:pageBreakBefore w:val="0"/>
              <w:kinsoku/>
              <w:wordWrap/>
              <w:overflowPunct/>
              <w:topLinePunct w:val="0"/>
              <w:bidi w:val="0"/>
              <w:adjustRightInd w:val="0"/>
              <w:snapToGrid w:val="0"/>
              <w:jc w:val="left"/>
              <w:textAlignment w:val="auto"/>
              <w:rPr>
                <w:rFonts w:hint="eastAsia" w:ascii="宋体" w:hAnsi="宋体" w:eastAsia="宋体" w:cs="宋体"/>
                <w:spacing w:val="0"/>
                <w:sz w:val="18"/>
                <w:szCs w:val="18"/>
                <w:shd w:val="clear" w:color="auto" w:fill="auto"/>
                <w:lang w:eastAsia="zh-CN"/>
              </w:rPr>
            </w:pPr>
          </w:p>
        </w:tc>
        <w:tc>
          <w:tcPr>
            <w:tcW w:w="706" w:type="pct"/>
            <w:vMerge w:val="continue"/>
            <w:shd w:val="clear" w:color="auto" w:fill="auto"/>
            <w:vAlign w:val="center"/>
          </w:tcPr>
          <w:p>
            <w:pPr>
              <w:keepNext w:val="0"/>
              <w:keepLines w:val="0"/>
              <w:pageBreakBefore w:val="0"/>
              <w:kinsoku/>
              <w:wordWrap/>
              <w:overflowPunct/>
              <w:topLinePunct w:val="0"/>
              <w:bidi w:val="0"/>
              <w:adjustRightInd w:val="0"/>
              <w:snapToGrid w:val="0"/>
              <w:jc w:val="center"/>
              <w:textAlignment w:val="auto"/>
              <w:rPr>
                <w:rFonts w:hint="eastAsia" w:ascii="宋体" w:hAnsi="宋体" w:eastAsia="宋体" w:cs="宋体"/>
                <w:spacing w:val="0"/>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1"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618"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1096" w:type="pct"/>
            <w:gridSpan w:val="3"/>
            <w:vAlign w:val="center"/>
          </w:tcPr>
          <w:p>
            <w:pPr>
              <w:widowControl/>
              <w:jc w:val="center"/>
              <w:rPr>
                <w:rFonts w:hint="eastAsia"/>
                <w:color w:val="auto"/>
                <w:kern w:val="0"/>
                <w:sz w:val="18"/>
                <w:szCs w:val="18"/>
                <w:lang w:eastAsia="zh-CN"/>
              </w:rPr>
            </w:pPr>
            <w:r>
              <w:rPr>
                <w:rFonts w:hint="eastAsia"/>
                <w:color w:val="auto"/>
                <w:kern w:val="0"/>
                <w:sz w:val="18"/>
                <w:szCs w:val="18"/>
                <w:lang w:eastAsia="zh-CN"/>
              </w:rPr>
              <w:t>土霉素、金霉素、四环素（以总量计）</w:t>
            </w:r>
            <w:r>
              <w:rPr>
                <w:rFonts w:hint="default"/>
                <w:color w:val="auto"/>
                <w:kern w:val="0"/>
                <w:sz w:val="18"/>
                <w:szCs w:val="18"/>
                <w:vertAlign w:val="superscript"/>
                <w:lang w:val="en-US" w:eastAsia="zh-CN"/>
              </w:rPr>
              <w:t>b</w:t>
            </w:r>
          </w:p>
        </w:tc>
        <w:tc>
          <w:tcPr>
            <w:tcW w:w="688" w:type="pct"/>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≤0.10</w:t>
            </w:r>
          </w:p>
        </w:tc>
        <w:tc>
          <w:tcPr>
            <w:tcW w:w="1577" w:type="pct"/>
            <w:gridSpan w:val="3"/>
            <w:vMerge w:val="continue"/>
            <w:vAlign w:val="center"/>
          </w:tcPr>
          <w:p>
            <w:pPr>
              <w:keepNext w:val="0"/>
              <w:keepLines w:val="0"/>
              <w:pageBreakBefore w:val="0"/>
              <w:kinsoku/>
              <w:wordWrap/>
              <w:overflowPunct/>
              <w:topLinePunct w:val="0"/>
              <w:bidi w:val="0"/>
              <w:adjustRightInd w:val="0"/>
              <w:snapToGrid w:val="0"/>
              <w:jc w:val="left"/>
              <w:textAlignment w:val="auto"/>
              <w:rPr>
                <w:rFonts w:hint="eastAsia" w:ascii="宋体" w:hAnsi="宋体" w:eastAsia="宋体" w:cs="宋体"/>
                <w:spacing w:val="0"/>
                <w:sz w:val="18"/>
                <w:szCs w:val="18"/>
                <w:shd w:val="clear" w:color="auto" w:fill="auto"/>
                <w:lang w:eastAsia="zh-CN"/>
              </w:rPr>
            </w:pPr>
          </w:p>
        </w:tc>
        <w:tc>
          <w:tcPr>
            <w:tcW w:w="706" w:type="pct"/>
            <w:vMerge w:val="continue"/>
            <w:shd w:val="clear" w:color="auto" w:fill="auto"/>
            <w:vAlign w:val="center"/>
          </w:tcPr>
          <w:p>
            <w:pPr>
              <w:keepNext w:val="0"/>
              <w:keepLines w:val="0"/>
              <w:pageBreakBefore w:val="0"/>
              <w:kinsoku/>
              <w:wordWrap/>
              <w:overflowPunct/>
              <w:topLinePunct w:val="0"/>
              <w:bidi w:val="0"/>
              <w:adjustRightInd w:val="0"/>
              <w:snapToGrid w:val="0"/>
              <w:jc w:val="center"/>
              <w:textAlignment w:val="auto"/>
              <w:rPr>
                <w:rFonts w:hint="eastAsia" w:ascii="宋体" w:hAnsi="宋体" w:eastAsia="宋体" w:cs="宋体"/>
                <w:spacing w:val="0"/>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1"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618"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color w:val="auto"/>
                <w:sz w:val="18"/>
                <w:szCs w:val="18"/>
              </w:rPr>
            </w:pPr>
          </w:p>
        </w:tc>
        <w:tc>
          <w:tcPr>
            <w:tcW w:w="1784" w:type="pct"/>
            <w:gridSpan w:val="4"/>
            <w:vAlign w:val="center"/>
          </w:tcPr>
          <w:p>
            <w:pPr>
              <w:widowControl/>
              <w:ind w:firstLine="180" w:firstLineChars="100"/>
              <w:jc w:val="left"/>
              <w:rPr>
                <w:rFonts w:hint="eastAsia" w:hAnsi="宋体" w:cs="宋体"/>
                <w:color w:val="auto"/>
                <w:kern w:val="0"/>
                <w:sz w:val="18"/>
                <w:szCs w:val="18"/>
                <w:lang w:val="en-US" w:eastAsia="zh-CN"/>
              </w:rPr>
            </w:pPr>
            <w:r>
              <w:rPr>
                <w:rFonts w:hint="default" w:hAnsi="宋体" w:cs="宋体"/>
                <w:color w:val="auto"/>
                <w:kern w:val="0"/>
                <w:sz w:val="18"/>
                <w:szCs w:val="18"/>
                <w:lang w:val="en-US" w:eastAsia="zh-CN"/>
              </w:rPr>
              <w:t xml:space="preserve"> </w:t>
            </w:r>
            <w:r>
              <w:rPr>
                <w:rFonts w:hint="default" w:hAnsi="宋体" w:cs="宋体"/>
                <w:color w:val="auto"/>
                <w:kern w:val="0"/>
                <w:sz w:val="18"/>
                <w:szCs w:val="18"/>
                <w:vertAlign w:val="superscript"/>
                <w:lang w:val="en-US" w:eastAsia="zh-CN"/>
              </w:rPr>
              <w:t>a</w:t>
            </w:r>
            <w:r>
              <w:rPr>
                <w:rFonts w:hint="default" w:hAnsi="宋体" w:cs="宋体"/>
                <w:color w:val="auto"/>
                <w:kern w:val="0"/>
                <w:sz w:val="18"/>
                <w:szCs w:val="18"/>
                <w:lang w:val="en-US" w:eastAsia="zh-CN"/>
              </w:rPr>
              <w:t xml:space="preserve"> </w:t>
            </w:r>
            <w:r>
              <w:rPr>
                <w:rFonts w:hint="eastAsia" w:hAnsi="宋体" w:cs="宋体"/>
                <w:color w:val="auto"/>
                <w:kern w:val="0"/>
                <w:sz w:val="18"/>
                <w:szCs w:val="18"/>
                <w:lang w:val="en-US" w:eastAsia="zh-CN"/>
              </w:rPr>
              <w:t>仅适用于镀锡罐头产品。</w:t>
            </w:r>
          </w:p>
          <w:p>
            <w:pPr>
              <w:widowControl/>
              <w:jc w:val="left"/>
              <w:rPr>
                <w:rFonts w:hint="eastAsia" w:ascii="Times New Roman" w:hAnsi="Times New Roman" w:eastAsia="宋体" w:cs="Times New Roman"/>
                <w:color w:val="auto"/>
                <w:kern w:val="0"/>
                <w:sz w:val="18"/>
                <w:szCs w:val="18"/>
                <w:lang w:val="en-US" w:eastAsia="zh-CN" w:bidi="ar-SA"/>
              </w:rPr>
            </w:pPr>
            <w:r>
              <w:rPr>
                <w:rFonts w:hint="eastAsia" w:hAnsi="宋体" w:cs="宋体"/>
                <w:color w:val="auto"/>
                <w:kern w:val="0"/>
                <w:sz w:val="18"/>
                <w:szCs w:val="18"/>
                <w:lang w:val="en-US" w:eastAsia="zh-CN"/>
              </w:rPr>
              <w:t xml:space="preserve">   </w:t>
            </w:r>
            <w:r>
              <w:rPr>
                <w:rFonts w:hint="default" w:hAnsi="宋体" w:cs="宋体"/>
                <w:color w:val="auto"/>
                <w:kern w:val="0"/>
                <w:sz w:val="18"/>
                <w:szCs w:val="18"/>
                <w:vertAlign w:val="superscript"/>
                <w:lang w:val="en-US" w:eastAsia="zh-CN"/>
              </w:rPr>
              <w:t>b</w:t>
            </w:r>
            <w:r>
              <w:rPr>
                <w:rFonts w:hint="eastAsia" w:hAnsi="宋体" w:cs="宋体"/>
                <w:color w:val="auto"/>
                <w:kern w:val="0"/>
                <w:sz w:val="18"/>
                <w:szCs w:val="18"/>
                <w:lang w:val="en-US" w:eastAsia="zh-CN"/>
              </w:rPr>
              <w:t xml:space="preserve"> 适用于以养殖的海水、淡水鱼为原料制成的罐头。</w:t>
            </w:r>
          </w:p>
        </w:tc>
        <w:tc>
          <w:tcPr>
            <w:tcW w:w="1577" w:type="pct"/>
            <w:gridSpan w:val="3"/>
            <w:vMerge w:val="continue"/>
            <w:vAlign w:val="center"/>
          </w:tcPr>
          <w:p>
            <w:pPr>
              <w:widowControl/>
              <w:jc w:val="left"/>
              <w:rPr>
                <w:rFonts w:hint="eastAsia" w:ascii="Times New Roman" w:hAnsi="Times New Roman" w:eastAsia="宋体" w:cs="Times New Roman"/>
                <w:color w:val="auto"/>
                <w:kern w:val="0"/>
                <w:sz w:val="18"/>
                <w:szCs w:val="18"/>
                <w:lang w:val="en-US" w:eastAsia="zh-CN" w:bidi="ar-SA"/>
              </w:rPr>
            </w:pPr>
          </w:p>
        </w:tc>
        <w:tc>
          <w:tcPr>
            <w:tcW w:w="706" w:type="pct"/>
            <w:vMerge w:val="continue"/>
            <w:shd w:val="clear" w:color="auto" w:fill="auto"/>
            <w:vAlign w:val="center"/>
          </w:tcPr>
          <w:p>
            <w:pPr>
              <w:keepNext w:val="0"/>
              <w:keepLines w:val="0"/>
              <w:pageBreakBefore w:val="0"/>
              <w:kinsoku/>
              <w:wordWrap/>
              <w:overflowPunct/>
              <w:topLinePunct w:val="0"/>
              <w:bidi w:val="0"/>
              <w:adjustRightInd w:val="0"/>
              <w:snapToGrid w:val="0"/>
              <w:jc w:val="center"/>
              <w:textAlignment w:val="auto"/>
              <w:rPr>
                <w:rFonts w:hint="eastAsia" w:ascii="宋体" w:hAnsi="宋体" w:eastAsia="宋体" w:cs="宋体"/>
                <w:spacing w:val="0"/>
                <w:sz w:val="18"/>
                <w:szCs w:val="18"/>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1" w:hRule="atLeast"/>
          <w:jc w:val="center"/>
        </w:trPr>
        <w:tc>
          <w:tcPr>
            <w:tcW w:w="313" w:type="pct"/>
            <w:vMerge w:val="continue"/>
            <w:shd w:val="clear" w:color="auto" w:fill="auto"/>
            <w:vAlign w:val="center"/>
          </w:tcPr>
          <w:p>
            <w:pPr>
              <w:keepNext w:val="0"/>
              <w:keepLines w:val="0"/>
              <w:pageBreakBefore w:val="0"/>
              <w:kinsoku/>
              <w:wordWrap/>
              <w:overflowPunct/>
              <w:topLinePunct w:val="0"/>
              <w:bidi w:val="0"/>
              <w:jc w:val="center"/>
              <w:textAlignment w:val="auto"/>
              <w:rPr>
                <w:rFonts w:hint="eastAsia" w:ascii="宋体" w:hAnsi="宋体" w:eastAsia="宋体" w:cs="宋体"/>
                <w:spacing w:val="0"/>
                <w:sz w:val="18"/>
                <w:szCs w:val="18"/>
                <w:shd w:val="clear" w:color="auto" w:fill="auto"/>
                <w:lang w:val="zh-CN" w:eastAsia="zh-CN"/>
              </w:rPr>
            </w:pPr>
          </w:p>
        </w:tc>
        <w:tc>
          <w:tcPr>
            <w:tcW w:w="618" w:type="pct"/>
            <w:shd w:val="clear" w:color="auto" w:fill="auto"/>
            <w:vAlign w:val="center"/>
          </w:tcPr>
          <w:p>
            <w:pPr>
              <w:widowControl/>
              <w:jc w:val="center"/>
              <w:rPr>
                <w:rFonts w:hint="eastAsia"/>
                <w:color w:val="auto"/>
                <w:kern w:val="0"/>
                <w:sz w:val="18"/>
                <w:szCs w:val="18"/>
                <w:lang w:val="en-US" w:eastAsia="zh-CN"/>
              </w:rPr>
            </w:pPr>
            <w:r>
              <w:rPr>
                <w:rFonts w:hint="eastAsia"/>
                <w:color w:val="auto"/>
                <w:kern w:val="0"/>
                <w:sz w:val="18"/>
                <w:szCs w:val="18"/>
                <w:lang w:eastAsia="zh-CN"/>
              </w:rPr>
              <w:t>生产加工过程卫生</w:t>
            </w:r>
          </w:p>
        </w:tc>
        <w:tc>
          <w:tcPr>
            <w:tcW w:w="1784" w:type="pct"/>
            <w:gridSpan w:val="4"/>
            <w:vAlign w:val="center"/>
          </w:tcPr>
          <w:p>
            <w:pPr>
              <w:widowControl/>
              <w:jc w:val="center"/>
              <w:rPr>
                <w:rFonts w:hint="eastAsia"/>
                <w:color w:val="auto"/>
                <w:kern w:val="0"/>
                <w:sz w:val="18"/>
                <w:szCs w:val="18"/>
                <w:lang w:val="zh-CN" w:eastAsia="zh-CN"/>
              </w:rPr>
            </w:pPr>
            <w:r>
              <w:rPr>
                <w:rFonts w:hint="eastAsia"/>
                <w:color w:val="auto"/>
                <w:kern w:val="0"/>
                <w:sz w:val="18"/>
                <w:szCs w:val="18"/>
                <w:lang w:eastAsia="zh-CN"/>
              </w:rPr>
              <w:t>应符合GB 1488</w:t>
            </w:r>
            <w:r>
              <w:rPr>
                <w:rFonts w:hint="default"/>
                <w:color w:val="auto"/>
                <w:kern w:val="0"/>
                <w:sz w:val="18"/>
                <w:szCs w:val="18"/>
                <w:lang w:val="en-US" w:eastAsia="zh-CN"/>
              </w:rPr>
              <w:t>1</w:t>
            </w:r>
            <w:r>
              <w:rPr>
                <w:rFonts w:hint="eastAsia"/>
                <w:color w:val="auto"/>
                <w:kern w:val="0"/>
                <w:sz w:val="18"/>
                <w:szCs w:val="18"/>
                <w:lang w:eastAsia="zh-CN"/>
              </w:rPr>
              <w:t>的要求</w:t>
            </w:r>
          </w:p>
        </w:tc>
        <w:tc>
          <w:tcPr>
            <w:tcW w:w="1577" w:type="pct"/>
            <w:gridSpan w:val="3"/>
            <w:vAlign w:val="center"/>
          </w:tcPr>
          <w:p>
            <w:pPr>
              <w:keepNext w:val="0"/>
              <w:keepLines w:val="0"/>
              <w:pageBreakBefore w:val="0"/>
              <w:kinsoku/>
              <w:wordWrap/>
              <w:overflowPunct/>
              <w:topLinePunct w:val="0"/>
              <w:bidi w:val="0"/>
              <w:adjustRightInd w:val="0"/>
              <w:snapToGrid w:val="0"/>
              <w:jc w:val="center"/>
              <w:textAlignment w:val="auto"/>
              <w:rPr>
                <w:rFonts w:hint="eastAsia" w:ascii="宋体" w:hAnsi="宋体" w:eastAsia="宋体" w:cs="宋体"/>
                <w:spacing w:val="0"/>
                <w:sz w:val="18"/>
                <w:szCs w:val="18"/>
                <w:shd w:val="clear" w:color="auto" w:fill="auto"/>
                <w:lang w:eastAsia="zh-CN"/>
              </w:rPr>
            </w:pPr>
            <w:r>
              <w:rPr>
                <w:rFonts w:hint="eastAsia" w:ascii="宋体" w:hAnsi="宋体" w:cs="宋体"/>
                <w:spacing w:val="0"/>
                <w:sz w:val="18"/>
                <w:szCs w:val="18"/>
                <w:shd w:val="clear" w:color="auto" w:fill="auto"/>
                <w:lang w:eastAsia="zh-CN"/>
              </w:rPr>
              <w:t>——</w:t>
            </w:r>
          </w:p>
        </w:tc>
        <w:tc>
          <w:tcPr>
            <w:tcW w:w="706" w:type="pct"/>
            <w:shd w:val="clear" w:color="auto" w:fill="auto"/>
            <w:vAlign w:val="center"/>
          </w:tcPr>
          <w:p>
            <w:pPr>
              <w:keepNext w:val="0"/>
              <w:keepLines w:val="0"/>
              <w:pageBreakBefore w:val="0"/>
              <w:kinsoku/>
              <w:wordWrap/>
              <w:overflowPunct/>
              <w:topLinePunct w:val="0"/>
              <w:bidi w:val="0"/>
              <w:adjustRightInd w:val="0"/>
              <w:snapToGrid w:val="0"/>
              <w:jc w:val="center"/>
              <w:textAlignment w:val="auto"/>
              <w:rPr>
                <w:rFonts w:hint="eastAsia" w:ascii="宋体" w:hAnsi="宋体" w:eastAsia="宋体" w:cs="宋体"/>
                <w:spacing w:val="0"/>
                <w:sz w:val="18"/>
                <w:szCs w:val="18"/>
                <w:shd w:val="clear" w:color="auto" w:fill="auto"/>
                <w:lang w:val="en-US" w:eastAsia="zh-CN"/>
              </w:rPr>
            </w:pPr>
            <w:r>
              <w:rPr>
                <w:rFonts w:hint="eastAsia" w:ascii="宋体" w:hAnsi="宋体" w:cs="宋体"/>
                <w:spacing w:val="0"/>
                <w:sz w:val="18"/>
                <w:szCs w:val="18"/>
                <w:shd w:val="clear" w:color="auto" w:fill="auto"/>
                <w:lang w:val="en-US" w:eastAsia="zh-CN"/>
              </w:rPr>
              <w:t>新增</w:t>
            </w:r>
          </w:p>
        </w:tc>
      </w:tr>
    </w:tbl>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标准先进性说明：</w:t>
      </w:r>
    </w:p>
    <w:p>
      <w:pPr>
        <w:ind w:firstLine="560" w:firstLineChars="200"/>
        <w:rPr>
          <w:rFonts w:hint="eastAsia" w:ascii="仿宋" w:hAnsi="仿宋" w:eastAsia="仿宋" w:cs="仿宋"/>
          <w:bCs/>
          <w:sz w:val="28"/>
          <w:szCs w:val="28"/>
          <w:lang w:val="zh-CN" w:eastAsia="zh-CN"/>
        </w:rPr>
      </w:pPr>
      <w:bookmarkStart w:id="3" w:name="_Hlk161677665"/>
      <w:r>
        <w:rPr>
          <w:rFonts w:hint="eastAsia" w:ascii="仿宋" w:hAnsi="仿宋" w:eastAsia="仿宋" w:cs="仿宋"/>
          <w:bCs/>
          <w:sz w:val="28"/>
          <w:szCs w:val="28"/>
          <w:lang w:eastAsia="zh-CN"/>
        </w:rPr>
        <w:t>1）</w:t>
      </w:r>
      <w:r>
        <w:rPr>
          <w:rFonts w:hint="eastAsia" w:ascii="仿宋" w:hAnsi="仿宋" w:eastAsia="仿宋" w:cs="仿宋"/>
          <w:bCs/>
          <w:sz w:val="28"/>
          <w:szCs w:val="28"/>
          <w:lang w:val="zh-CN" w:eastAsia="zh-CN"/>
        </w:rPr>
        <w:t>食品安全、生产加工过程卫生：反映产品的安全卫生要求。</w:t>
      </w:r>
    </w:p>
    <w:p>
      <w:pPr>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eastAsia="zh-CN"/>
        </w:rPr>
        <w:t>理由说明：食品安全是国家和各级政府的工作重点，是消费者最关心也是最基本的要求，严格保障和提升食品安全指标要求，可以极大增强食品安全的保障能力和稳定能力</w:t>
      </w:r>
      <w:r>
        <w:rPr>
          <w:rFonts w:hint="eastAsia" w:ascii="仿宋" w:hAnsi="仿宋" w:eastAsia="仿宋" w:cs="仿宋"/>
          <w:bCs/>
          <w:sz w:val="28"/>
          <w:szCs w:val="28"/>
          <w:lang w:val="en-US" w:eastAsia="zh-CN"/>
        </w:rPr>
        <w:t>。食品安全指标的增加或提升，是发映企业的技术能力、生产能力、工艺能力及环境能力等方面综合技术实力，充分体现了企业在食品安全保障上的人机料法环测等各方面的能力，具有很大先进性和难度。</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2）感官指标中的组织形态和固形物含量：</w:t>
      </w:r>
      <w:r>
        <w:rPr>
          <w:rFonts w:hint="eastAsia" w:ascii="仿宋" w:hAnsi="仿宋" w:eastAsia="仿宋" w:cs="仿宋"/>
          <w:bCs/>
          <w:sz w:val="28"/>
          <w:szCs w:val="28"/>
          <w:lang w:eastAsia="zh-CN"/>
        </w:rPr>
        <w:t>反映食品的愉悦的可视形态，及具有优良的产品稳定性和可靠性</w:t>
      </w:r>
    </w:p>
    <w:p>
      <w:pPr>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eastAsia="zh-CN"/>
        </w:rPr>
        <w:t>食品相对一般的产品具有其的特殊性，感官指标是消费者对食品的第一感觉，也是提起消费者食欲和购买欲的第一关键因素，而固形物含量则是反映食品的应有重量，是商家保证可食用主要物质。此两指标的提升，是对食品质和量的要求，也反映了食品加工工艺控制的要求，一定程度提现了产品和加工工艺的先进性。</w:t>
      </w:r>
    </w:p>
    <w:p>
      <w:pPr>
        <w:pStyle w:val="18"/>
        <w:ind w:firstLine="560"/>
        <w:rPr>
          <w:rFonts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w:t>
      </w:r>
      <w:bookmarkStart w:id="4" w:name="_Hlk161676697"/>
      <w:r>
        <w:rPr>
          <w:rFonts w:hint="eastAsia" w:ascii="仿宋" w:hAnsi="仿宋" w:eastAsia="仿宋" w:cs="仿宋"/>
          <w:bCs/>
          <w:sz w:val="28"/>
          <w:szCs w:val="28"/>
          <w:lang w:val="en-US" w:eastAsia="zh-CN"/>
        </w:rPr>
        <w:t>氯化钠含量和亚硝酸盐含量</w:t>
      </w:r>
      <w:r>
        <w:rPr>
          <w:rFonts w:hint="eastAsia" w:ascii="仿宋" w:hAnsi="仿宋" w:eastAsia="仿宋" w:cs="仿宋"/>
          <w:bCs/>
          <w:sz w:val="28"/>
          <w:szCs w:val="28"/>
        </w:rPr>
        <w:t>：反映</w:t>
      </w:r>
      <w:r>
        <w:rPr>
          <w:rFonts w:hint="eastAsia" w:ascii="仿宋" w:hAnsi="仿宋" w:eastAsia="仿宋" w:cs="仿宋"/>
          <w:bCs/>
          <w:sz w:val="28"/>
          <w:szCs w:val="28"/>
          <w:lang w:eastAsia="zh-CN"/>
        </w:rPr>
        <w:t>食品的健康性和绿色性</w:t>
      </w:r>
      <w:r>
        <w:rPr>
          <w:rFonts w:hint="eastAsia" w:ascii="仿宋" w:hAnsi="仿宋" w:eastAsia="仿宋" w:cs="仿宋"/>
          <w:bCs/>
          <w:sz w:val="28"/>
          <w:szCs w:val="28"/>
        </w:rPr>
        <w:t>。</w:t>
      </w:r>
    </w:p>
    <w:p>
      <w:pPr>
        <w:pStyle w:val="18"/>
        <w:ind w:firstLine="560"/>
        <w:rPr>
          <w:rFonts w:hint="eastAsia" w:ascii="仿宋" w:hAnsi="仿宋" w:eastAsia="仿宋" w:cs="仿宋"/>
          <w:bCs/>
          <w:sz w:val="28"/>
          <w:szCs w:val="28"/>
          <w:lang w:eastAsia="zh-CN"/>
        </w:rPr>
      </w:pPr>
      <w:r>
        <w:rPr>
          <w:rFonts w:hint="eastAsia" w:ascii="仿宋" w:hAnsi="仿宋" w:eastAsia="仿宋" w:cs="仿宋"/>
          <w:bCs/>
          <w:sz w:val="28"/>
          <w:szCs w:val="28"/>
        </w:rPr>
        <w:t>理由说明：</w:t>
      </w:r>
      <w:bookmarkEnd w:id="3"/>
      <w:bookmarkEnd w:id="4"/>
      <w:r>
        <w:rPr>
          <w:rFonts w:hint="eastAsia" w:ascii="仿宋" w:hAnsi="仿宋" w:eastAsia="仿宋" w:cs="仿宋"/>
          <w:bCs/>
          <w:sz w:val="28"/>
          <w:szCs w:val="28"/>
          <w:lang w:eastAsia="zh-CN"/>
        </w:rPr>
        <w:t>随着社会的发展，人们对物质的需求已从量的要求，转变到健康、绿色环保的要求，以满足对美好生活不断提升的需求。目前人们为健康生活，对低盐食品更加青睐，而过量</w:t>
      </w:r>
      <w:r>
        <w:rPr>
          <w:rFonts w:hint="eastAsia" w:ascii="仿宋" w:hAnsi="仿宋" w:eastAsia="仿宋" w:cs="仿宋"/>
          <w:bCs/>
          <w:sz w:val="28"/>
          <w:szCs w:val="28"/>
          <w:lang w:val="en-US" w:eastAsia="zh-CN"/>
        </w:rPr>
        <w:t>亚硝酸盐则是公认具有致癌隐患的物质，需尽量减少亚硝酸盐的摄入</w:t>
      </w:r>
      <w:r>
        <w:rPr>
          <w:rFonts w:hint="eastAsia" w:ascii="仿宋" w:hAnsi="仿宋" w:eastAsia="仿宋" w:cs="仿宋"/>
          <w:bCs/>
          <w:sz w:val="28"/>
          <w:szCs w:val="28"/>
          <w:lang w:eastAsia="zh-CN"/>
        </w:rPr>
        <w:t>。对氯化钠含量指标的提升和增加</w:t>
      </w:r>
      <w:r>
        <w:rPr>
          <w:rFonts w:hint="eastAsia" w:ascii="仿宋" w:hAnsi="仿宋" w:eastAsia="仿宋" w:cs="仿宋"/>
          <w:bCs/>
          <w:sz w:val="28"/>
          <w:szCs w:val="28"/>
          <w:lang w:val="en-US" w:eastAsia="zh-CN"/>
        </w:rPr>
        <w:t>亚硝酸盐指标，都是食品更健康和绿色的要求，反映了现代社会对食品的更高要求，也是人们追求更加健康、幸福和绿色生活的需求。但商家要做到既低纳又防腐，且防止亚硝酸盐的产生，是需要一定的先进生产技术和工艺等来保障，因而具有先进性。</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4.2  </w:t>
      </w:r>
      <w:r>
        <w:rPr>
          <w:rFonts w:ascii="黑体" w:hAnsi="宋体" w:eastAsia="黑体" w:cs="黑体"/>
          <w:sz w:val="28"/>
          <w:szCs w:val="28"/>
          <w:lang w:eastAsia="zh-CN"/>
        </w:rPr>
        <w:t>试验方法</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本标准要求指标的试验方法均有对应的国家标准和行业标准测试方法，所以本标准的试验方法均采用相应的国家标准和行业标准测试方法进行。</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ascii="黑体" w:hAnsi="宋体" w:eastAsia="黑体" w:cs="黑体"/>
          <w:sz w:val="28"/>
          <w:szCs w:val="28"/>
          <w:lang w:eastAsia="zh-CN"/>
        </w:rPr>
        <w:t>3</w:t>
      </w:r>
      <w:r>
        <w:rPr>
          <w:rFonts w:hint="eastAsia" w:ascii="黑体" w:hAnsi="宋体" w:eastAsia="黑体" w:cs="黑体"/>
          <w:sz w:val="28"/>
          <w:szCs w:val="28"/>
          <w:lang w:eastAsia="zh-CN"/>
        </w:rPr>
        <w:t xml:space="preserve">  </w:t>
      </w:r>
      <w:r>
        <w:rPr>
          <w:rFonts w:ascii="黑体" w:hAnsi="宋体" w:eastAsia="黑体" w:cs="黑体"/>
          <w:sz w:val="28"/>
          <w:szCs w:val="28"/>
          <w:lang w:eastAsia="zh-CN"/>
        </w:rPr>
        <w:t>检验规则</w:t>
      </w:r>
    </w:p>
    <w:p>
      <w:pPr>
        <w:spacing w:line="276"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根据产品标准的要求，兼顾生产方、买方及第三方的需求，既要保证判定的准确性又要力求可行，将判定规则分为出厂检验和型式检验，分别明确了检验项目、不合格分类及抽样方案和判定规则的确定。</w:t>
      </w:r>
    </w:p>
    <w:p>
      <w:pPr>
        <w:spacing w:line="276"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具体</w:t>
      </w:r>
      <w:r>
        <w:rPr>
          <w:rFonts w:hint="eastAsia" w:ascii="仿宋" w:hAnsi="仿宋" w:eastAsia="仿宋" w:cs="仿宋"/>
          <w:sz w:val="28"/>
          <w:szCs w:val="28"/>
          <w:lang w:val="en-US" w:eastAsia="zh-CN"/>
        </w:rPr>
        <w:t>按QB/T 1006的规定执行。感官要求、净含量、固形物含量、鱼含量、氯化钠含量指标为出厂质量检验项目。</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ascii="黑体" w:hAnsi="宋体" w:eastAsia="黑体" w:cs="黑体"/>
          <w:sz w:val="28"/>
          <w:szCs w:val="28"/>
          <w:lang w:eastAsia="zh-CN"/>
        </w:rPr>
        <w:t>4</w:t>
      </w:r>
      <w:r>
        <w:rPr>
          <w:rFonts w:hint="eastAsia" w:ascii="黑体" w:hAnsi="宋体" w:eastAsia="黑体" w:cs="黑体"/>
          <w:sz w:val="28"/>
          <w:szCs w:val="28"/>
          <w:lang w:eastAsia="zh-CN"/>
        </w:rPr>
        <w:t xml:space="preserve">  标志、</w:t>
      </w:r>
      <w:r>
        <w:rPr>
          <w:rFonts w:ascii="黑体" w:hAnsi="宋体" w:eastAsia="黑体" w:cs="黑体"/>
          <w:sz w:val="28"/>
          <w:szCs w:val="28"/>
          <w:lang w:eastAsia="zh-CN"/>
        </w:rPr>
        <w:t>包装、运输、贮存</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根据国家对产品的使用说明要求，标准规定了产品的使用说明应符合标准中的技术要求。</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产品包装按规定执行，运输、贮存根据产品的需要作了相应的规定。</w:t>
      </w:r>
    </w:p>
    <w:p>
      <w:pPr>
        <w:widowControl/>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具体按QB/T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4631</w:t>
      </w:r>
      <w:r>
        <w:rPr>
          <w:rFonts w:hint="eastAsia" w:ascii="仿宋" w:hAnsi="仿宋" w:eastAsia="仿宋" w:cs="仿宋"/>
          <w:sz w:val="28"/>
          <w:szCs w:val="28"/>
          <w:lang w:val="en-US" w:eastAsia="zh-CN"/>
        </w:rPr>
        <w:t>的相关规定执行。</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4.5  质量承诺</w:t>
      </w:r>
    </w:p>
    <w:p>
      <w:pPr>
        <w:spacing w:line="360" w:lineRule="auto"/>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规定了产品保</w:t>
      </w:r>
      <w:r>
        <w:rPr>
          <w:rFonts w:hint="eastAsia" w:ascii="仿宋" w:hAnsi="仿宋" w:eastAsia="仿宋" w:cs="仿宋"/>
          <w:sz w:val="28"/>
          <w:szCs w:val="28"/>
          <w:lang w:val="en-US" w:eastAsia="zh-CN"/>
        </w:rPr>
        <w:t>质</w:t>
      </w:r>
      <w:r>
        <w:rPr>
          <w:rFonts w:hint="eastAsia" w:ascii="仿宋" w:hAnsi="仿宋" w:eastAsia="仿宋" w:cs="仿宋"/>
          <w:sz w:val="28"/>
          <w:szCs w:val="28"/>
          <w:lang w:eastAsia="zh-CN"/>
        </w:rPr>
        <w:t>期和客户响应。</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5  与现行相关法律、法规、规章及相关标准的协调性</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本标准内容符合现行法律、法规。</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6  标准的实施与宣贯 </w:t>
      </w:r>
    </w:p>
    <w:p>
      <w:pPr>
        <w:widowControl/>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已批准发布的佛山标准，文本由佛山市佛山标准和卓越绩效管理促进会在官方网站 （http://）上全文公布，供社会免费查阅。鼓励相关单位在标准信息公共服务平台（http://www.cpbz.gov.cn/）上自我声明公开执行本标准。</w:t>
      </w:r>
      <w:r>
        <w:rPr>
          <w:rFonts w:ascii="仿宋" w:hAnsi="仿宋" w:eastAsia="仿宋" w:cs="仿宋"/>
          <w:sz w:val="28"/>
          <w:szCs w:val="28"/>
          <w:lang w:eastAsia="zh-CN"/>
        </w:rPr>
        <w:t> </w:t>
      </w:r>
    </w:p>
    <w:p>
      <w:pPr>
        <w:widowControl/>
        <w:spacing w:line="720" w:lineRule="auto"/>
        <w:rPr>
          <w:rFonts w:ascii="黑体" w:hAnsi="宋体" w:eastAsia="黑体" w:cs="黑体"/>
          <w:sz w:val="28"/>
          <w:szCs w:val="28"/>
          <w:lang w:eastAsia="zh-CN"/>
        </w:rPr>
      </w:pPr>
      <w:r>
        <w:rPr>
          <w:rFonts w:hint="eastAsia" w:ascii="黑体" w:hAnsi="宋体" w:eastAsia="黑体" w:cs="黑体"/>
          <w:sz w:val="28"/>
          <w:szCs w:val="28"/>
          <w:lang w:eastAsia="zh-CN"/>
        </w:rPr>
        <w:t xml:space="preserve">7  其他应予说明的事项 </w:t>
      </w:r>
    </w:p>
    <w:p>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标准不涉及专利和产品配方。</w:t>
      </w:r>
    </w:p>
    <w:p>
      <w:pPr>
        <w:widowControl/>
        <w:spacing w:line="360" w:lineRule="auto"/>
        <w:ind w:firstLine="560" w:firstLineChars="200"/>
        <w:rPr>
          <w:rFonts w:hint="eastAsia" w:ascii="仿宋" w:hAnsi="仿宋" w:eastAsia="仿宋" w:cs="仿宋"/>
          <w:sz w:val="28"/>
          <w:szCs w:val="28"/>
          <w:lang w:eastAsia="zh-CN"/>
        </w:rPr>
      </w:pPr>
    </w:p>
    <w:p>
      <w:pPr>
        <w:widowControl/>
        <w:spacing w:line="360" w:lineRule="auto"/>
        <w:ind w:firstLine="560" w:firstLineChars="200"/>
        <w:jc w:val="right"/>
        <w:rPr>
          <w:rFonts w:ascii="仿宋" w:hAnsi="仿宋" w:eastAsia="仿宋" w:cs="仿宋"/>
          <w:sz w:val="28"/>
          <w:szCs w:val="28"/>
          <w:lang w:eastAsia="zh-CN"/>
        </w:rPr>
      </w:pPr>
      <w:r>
        <w:rPr>
          <w:rFonts w:hint="eastAsia" w:ascii="仿宋" w:hAnsi="仿宋" w:eastAsia="仿宋" w:cs="仿宋"/>
          <w:sz w:val="28"/>
          <w:szCs w:val="28"/>
          <w:lang w:eastAsia="zh-CN"/>
        </w:rPr>
        <w:t xml:space="preserve">《佛山标准 豆豉鲮鱼罐头》标准研制工作组 </w:t>
      </w:r>
    </w:p>
    <w:p>
      <w:pPr>
        <w:widowControl/>
        <w:spacing w:line="360" w:lineRule="auto"/>
        <w:ind w:right="1120" w:firstLine="560" w:firstLineChars="200"/>
        <w:jc w:val="right"/>
        <w:rPr>
          <w:rFonts w:ascii="仿宋" w:hAnsi="仿宋" w:eastAsia="仿宋" w:cs="仿宋"/>
          <w:sz w:val="28"/>
          <w:szCs w:val="28"/>
          <w:lang w:eastAsia="zh-CN"/>
        </w:rPr>
      </w:pPr>
      <w:r>
        <w:rPr>
          <w:rFonts w:hint="eastAsia" w:ascii="仿宋" w:hAnsi="仿宋" w:eastAsia="仿宋" w:cs="仿宋"/>
          <w:sz w:val="28"/>
          <w:szCs w:val="28"/>
          <w:lang w:eastAsia="zh-CN"/>
        </w:rPr>
        <w:t>202</w:t>
      </w:r>
      <w:r>
        <w:rPr>
          <w:rFonts w:ascii="仿宋" w:hAnsi="仿宋" w:eastAsia="仿宋" w:cs="仿宋"/>
          <w:sz w:val="28"/>
          <w:szCs w:val="28"/>
          <w:lang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月</w:t>
      </w:r>
      <w:r>
        <w:rPr>
          <w:rFonts w:hint="default" w:ascii="仿宋" w:hAnsi="仿宋" w:eastAsia="仿宋" w:cs="仿宋"/>
          <w:sz w:val="28"/>
          <w:szCs w:val="28"/>
          <w:lang w:val="en-US" w:eastAsia="zh-CN"/>
        </w:rPr>
        <w:t>2</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日</w:t>
      </w:r>
    </w:p>
    <w:sectPr>
      <w:footerReference r:id="rId3" w:type="default"/>
      <w:pgSz w:w="11906" w:h="16838"/>
      <w:pgMar w:top="960" w:right="1080" w:bottom="1440" w:left="1080" w:header="851" w:footer="992" w:gutter="0"/>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eastAsia="zh-CN"/>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10</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C9D27"/>
    <w:multiLevelType w:val="singleLevel"/>
    <w:tmpl w:val="F2EC9D27"/>
    <w:lvl w:ilvl="0" w:tentative="0">
      <w:start w:val="1"/>
      <w:numFmt w:val="decimal"/>
      <w:suff w:val="nothing"/>
      <w:lvlText w:val="%1）"/>
      <w:lvlJc w:val="left"/>
    </w:lvl>
  </w:abstractNum>
  <w:abstractNum w:abstractNumId="1">
    <w:nsid w:val="079102AD"/>
    <w:multiLevelType w:val="multilevel"/>
    <w:tmpl w:val="079102AD"/>
    <w:lvl w:ilvl="0" w:tentative="0">
      <w:start w:val="1"/>
      <w:numFmt w:val="decimal"/>
      <w:pStyle w:val="2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19782EDA"/>
    <w:multiLevelType w:val="multilevel"/>
    <w:tmpl w:val="19782EDA"/>
    <w:lvl w:ilvl="0" w:tentative="0">
      <w:start w:val="1"/>
      <w:numFmt w:val="lowerLetter"/>
      <w:pStyle w:val="24"/>
      <w:lvlText w:val="%1)"/>
      <w:lvlJc w:val="left"/>
      <w:pPr>
        <w:tabs>
          <w:tab w:val="left" w:pos="840"/>
        </w:tabs>
        <w:ind w:left="839" w:hanging="419"/>
      </w:pPr>
      <w:rPr>
        <w:rFonts w:hint="eastAsia" w:ascii="宋体" w:hAnsi="Times New Roman" w:eastAsia="宋体" w:cs="宋体"/>
        <w:b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cs="宋体"/>
        <w:b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557C2AF5"/>
    <w:multiLevelType w:val="multilevel"/>
    <w:tmpl w:val="557C2AF5"/>
    <w:lvl w:ilvl="0" w:tentative="0">
      <w:start w:val="1"/>
      <w:numFmt w:val="decimal"/>
      <w:pStyle w:val="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7D090C6"/>
    <w:multiLevelType w:val="multilevel"/>
    <w:tmpl w:val="67D090C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6FC930AC"/>
    <w:multiLevelType w:val="multilevel"/>
    <w:tmpl w:val="6FC930AC"/>
    <w:lvl w:ilvl="0" w:tentative="0">
      <w:start w:val="1"/>
      <w:numFmt w:val="decimal"/>
      <w:pStyle w:val="44"/>
      <w:suff w:val="nothing"/>
      <w:lvlText w:val="%1　"/>
      <w:lvlJc w:val="left"/>
      <w:pPr>
        <w:ind w:left="0" w:firstLine="0"/>
      </w:pPr>
      <w:rPr>
        <w:rFonts w:hint="eastAsia" w:ascii="黑体" w:hAnsi="黑体" w:eastAsia="黑体"/>
        <w:sz w:val="20"/>
      </w:rPr>
    </w:lvl>
    <w:lvl w:ilvl="1" w:tentative="0">
      <w:start w:val="1"/>
      <w:numFmt w:val="decimal"/>
      <w:pStyle w:val="43"/>
      <w:suff w:val="nothing"/>
      <w:lvlText w:val="%1.%2　"/>
      <w:lvlJc w:val="left"/>
      <w:pPr>
        <w:ind w:left="1276" w:firstLine="0"/>
      </w:pPr>
      <w:rPr>
        <w:rFonts w:hint="eastAsia" w:ascii="黑体" w:hAnsi="黑体" w:eastAsia="黑体"/>
        <w:sz w:val="20"/>
      </w:rPr>
    </w:lvl>
    <w:lvl w:ilvl="2" w:tentative="0">
      <w:start w:val="1"/>
      <w:numFmt w:val="decimal"/>
      <w:pStyle w:val="42"/>
      <w:suff w:val="nothing"/>
      <w:lvlText w:val="%1.%2.%3　"/>
      <w:lvlJc w:val="left"/>
      <w:pPr>
        <w:ind w:left="0" w:firstLine="0"/>
      </w:pPr>
      <w:rPr>
        <w:rFonts w:hint="eastAsia" w:ascii="黑体" w:hAnsi="黑体" w:eastAsia="黑体"/>
        <w:sz w:val="20"/>
      </w:rPr>
    </w:lvl>
    <w:lvl w:ilvl="3" w:tentative="0">
      <w:start w:val="1"/>
      <w:numFmt w:val="decimal"/>
      <w:suff w:val="nothing"/>
      <w:lvlText w:val="%1.%2.%3.%4　"/>
      <w:lvlJc w:val="left"/>
      <w:pPr>
        <w:ind w:left="0" w:firstLine="0"/>
      </w:pPr>
      <w:rPr>
        <w:rFonts w:hint="eastAsia" w:ascii="黑体" w:hAnsi="黑体" w:eastAsia="黑体"/>
        <w:sz w:val="20"/>
      </w:rPr>
    </w:lvl>
    <w:lvl w:ilvl="4" w:tentative="0">
      <w:start w:val="1"/>
      <w:numFmt w:val="decimal"/>
      <w:suff w:val="nothing"/>
      <w:lvlText w:val="%1.%2.%3.%4.%5　"/>
      <w:lvlJc w:val="left"/>
      <w:pPr>
        <w:ind w:left="0" w:firstLine="0"/>
      </w:pPr>
      <w:rPr>
        <w:rFonts w:hint="eastAsia" w:ascii="黑体" w:hAnsi="黑体" w:eastAsia="黑体"/>
        <w:sz w:val="20"/>
      </w:rPr>
    </w:lvl>
    <w:lvl w:ilvl="5" w:tentative="0">
      <w:start w:val="1"/>
      <w:numFmt w:val="decimal"/>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7279CB2F"/>
    <w:multiLevelType w:val="singleLevel"/>
    <w:tmpl w:val="7279CB2F"/>
    <w:lvl w:ilvl="0" w:tentative="0">
      <w:start w:val="1"/>
      <w:numFmt w:val="decimal"/>
      <w:suff w:val="nothing"/>
      <w:lvlText w:val="%1）"/>
      <w:lvlJc w:val="left"/>
    </w:lvl>
  </w:abstractNum>
  <w:num w:numId="1">
    <w:abstractNumId w:val="3"/>
  </w:num>
  <w:num w:numId="2">
    <w:abstractNumId w:val="2"/>
  </w:num>
  <w:num w:numId="3">
    <w:abstractNumId w:val="1"/>
  </w:num>
  <w:num w:numId="4">
    <w:abstractNumId w:val="5"/>
  </w:num>
  <w:num w:numId="5">
    <w:abstractNumId w:val="4"/>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3NzI0YjNlNjM1OWRmMTNmYzVhZDE1Nzk1MzVlOTEifQ=="/>
  </w:docVars>
  <w:rsids>
    <w:rsidRoot w:val="5EBC12FA"/>
    <w:rsid w:val="00002D36"/>
    <w:rsid w:val="00010510"/>
    <w:rsid w:val="0001069C"/>
    <w:rsid w:val="0001178E"/>
    <w:rsid w:val="00011B1D"/>
    <w:rsid w:val="000133BD"/>
    <w:rsid w:val="00017C5C"/>
    <w:rsid w:val="00020296"/>
    <w:rsid w:val="000210B7"/>
    <w:rsid w:val="0002183F"/>
    <w:rsid w:val="00021B53"/>
    <w:rsid w:val="0002393D"/>
    <w:rsid w:val="000256A0"/>
    <w:rsid w:val="00026E7C"/>
    <w:rsid w:val="000315F1"/>
    <w:rsid w:val="000324BA"/>
    <w:rsid w:val="000327C0"/>
    <w:rsid w:val="0003468E"/>
    <w:rsid w:val="00035EB0"/>
    <w:rsid w:val="000379E8"/>
    <w:rsid w:val="000400C3"/>
    <w:rsid w:val="0004121A"/>
    <w:rsid w:val="000416D2"/>
    <w:rsid w:val="00041A0B"/>
    <w:rsid w:val="000439EC"/>
    <w:rsid w:val="00046ECD"/>
    <w:rsid w:val="000532DB"/>
    <w:rsid w:val="00054019"/>
    <w:rsid w:val="00055186"/>
    <w:rsid w:val="000574F9"/>
    <w:rsid w:val="0005788F"/>
    <w:rsid w:val="00061B69"/>
    <w:rsid w:val="00061FBE"/>
    <w:rsid w:val="000630C5"/>
    <w:rsid w:val="00063DFD"/>
    <w:rsid w:val="0006524A"/>
    <w:rsid w:val="00066063"/>
    <w:rsid w:val="000673F4"/>
    <w:rsid w:val="00067B62"/>
    <w:rsid w:val="00070FBE"/>
    <w:rsid w:val="000738BC"/>
    <w:rsid w:val="000760AF"/>
    <w:rsid w:val="00076BAA"/>
    <w:rsid w:val="0008080B"/>
    <w:rsid w:val="00081572"/>
    <w:rsid w:val="0008480B"/>
    <w:rsid w:val="00085839"/>
    <w:rsid w:val="0008624E"/>
    <w:rsid w:val="00087088"/>
    <w:rsid w:val="0008780E"/>
    <w:rsid w:val="0009129D"/>
    <w:rsid w:val="0009542D"/>
    <w:rsid w:val="000960BF"/>
    <w:rsid w:val="000973D8"/>
    <w:rsid w:val="00097D97"/>
    <w:rsid w:val="000A0057"/>
    <w:rsid w:val="000A03FB"/>
    <w:rsid w:val="000A1E89"/>
    <w:rsid w:val="000A4042"/>
    <w:rsid w:val="000A43C3"/>
    <w:rsid w:val="000A466B"/>
    <w:rsid w:val="000B040B"/>
    <w:rsid w:val="000B1D65"/>
    <w:rsid w:val="000B29B4"/>
    <w:rsid w:val="000B420C"/>
    <w:rsid w:val="000B71E6"/>
    <w:rsid w:val="000B7755"/>
    <w:rsid w:val="000C2289"/>
    <w:rsid w:val="000C3665"/>
    <w:rsid w:val="000C4BCF"/>
    <w:rsid w:val="000C6CB6"/>
    <w:rsid w:val="000C7C69"/>
    <w:rsid w:val="000D0B48"/>
    <w:rsid w:val="000D1BE4"/>
    <w:rsid w:val="000D34D8"/>
    <w:rsid w:val="000D4BC3"/>
    <w:rsid w:val="000D579A"/>
    <w:rsid w:val="000E007C"/>
    <w:rsid w:val="000E03A1"/>
    <w:rsid w:val="000E074D"/>
    <w:rsid w:val="000E176B"/>
    <w:rsid w:val="000E4E4F"/>
    <w:rsid w:val="000E53C5"/>
    <w:rsid w:val="000F14B2"/>
    <w:rsid w:val="000F2509"/>
    <w:rsid w:val="000F252D"/>
    <w:rsid w:val="00101C70"/>
    <w:rsid w:val="00101ECB"/>
    <w:rsid w:val="0010348A"/>
    <w:rsid w:val="00106EAD"/>
    <w:rsid w:val="00110881"/>
    <w:rsid w:val="00111465"/>
    <w:rsid w:val="001114FF"/>
    <w:rsid w:val="0012051C"/>
    <w:rsid w:val="00124AB0"/>
    <w:rsid w:val="00127180"/>
    <w:rsid w:val="00131104"/>
    <w:rsid w:val="001354F7"/>
    <w:rsid w:val="001368AB"/>
    <w:rsid w:val="00137EC5"/>
    <w:rsid w:val="001403CC"/>
    <w:rsid w:val="001422EC"/>
    <w:rsid w:val="00142703"/>
    <w:rsid w:val="00151F4E"/>
    <w:rsid w:val="001522C3"/>
    <w:rsid w:val="00154027"/>
    <w:rsid w:val="00157412"/>
    <w:rsid w:val="00160A3B"/>
    <w:rsid w:val="001620FC"/>
    <w:rsid w:val="001665F6"/>
    <w:rsid w:val="001673BC"/>
    <w:rsid w:val="00174901"/>
    <w:rsid w:val="0017524B"/>
    <w:rsid w:val="00177050"/>
    <w:rsid w:val="001805B8"/>
    <w:rsid w:val="00187A3D"/>
    <w:rsid w:val="00192A8A"/>
    <w:rsid w:val="001955CB"/>
    <w:rsid w:val="0019614F"/>
    <w:rsid w:val="001A4E9C"/>
    <w:rsid w:val="001A6329"/>
    <w:rsid w:val="001A634B"/>
    <w:rsid w:val="001A7065"/>
    <w:rsid w:val="001A7B84"/>
    <w:rsid w:val="001B06B8"/>
    <w:rsid w:val="001B1B8E"/>
    <w:rsid w:val="001B4C07"/>
    <w:rsid w:val="001B4F98"/>
    <w:rsid w:val="001B7C1E"/>
    <w:rsid w:val="001C076A"/>
    <w:rsid w:val="001C29DA"/>
    <w:rsid w:val="001C37E3"/>
    <w:rsid w:val="001C4949"/>
    <w:rsid w:val="001C7AA8"/>
    <w:rsid w:val="001C7BB6"/>
    <w:rsid w:val="001D6418"/>
    <w:rsid w:val="001D6A9E"/>
    <w:rsid w:val="001E0E6D"/>
    <w:rsid w:val="001E1893"/>
    <w:rsid w:val="001E383F"/>
    <w:rsid w:val="001E6A03"/>
    <w:rsid w:val="001F4EE2"/>
    <w:rsid w:val="001F6E8E"/>
    <w:rsid w:val="001F74B6"/>
    <w:rsid w:val="0020028E"/>
    <w:rsid w:val="002011A2"/>
    <w:rsid w:val="0020124A"/>
    <w:rsid w:val="00205F8F"/>
    <w:rsid w:val="002060F4"/>
    <w:rsid w:val="00206D85"/>
    <w:rsid w:val="0020738D"/>
    <w:rsid w:val="00216CD4"/>
    <w:rsid w:val="00221540"/>
    <w:rsid w:val="002215F7"/>
    <w:rsid w:val="0022161E"/>
    <w:rsid w:val="00221B6D"/>
    <w:rsid w:val="002274A4"/>
    <w:rsid w:val="00227F08"/>
    <w:rsid w:val="00230F1B"/>
    <w:rsid w:val="002317F8"/>
    <w:rsid w:val="002329C3"/>
    <w:rsid w:val="002350EA"/>
    <w:rsid w:val="002400C7"/>
    <w:rsid w:val="00242C58"/>
    <w:rsid w:val="00244A0D"/>
    <w:rsid w:val="00244B76"/>
    <w:rsid w:val="00244E49"/>
    <w:rsid w:val="00246CAA"/>
    <w:rsid w:val="0024794B"/>
    <w:rsid w:val="00250AC6"/>
    <w:rsid w:val="00253AA8"/>
    <w:rsid w:val="00257EDA"/>
    <w:rsid w:val="00263B91"/>
    <w:rsid w:val="00264B27"/>
    <w:rsid w:val="002651C7"/>
    <w:rsid w:val="00266373"/>
    <w:rsid w:val="002702B7"/>
    <w:rsid w:val="00271257"/>
    <w:rsid w:val="00271ADF"/>
    <w:rsid w:val="00277FAD"/>
    <w:rsid w:val="00281521"/>
    <w:rsid w:val="00281848"/>
    <w:rsid w:val="00281C72"/>
    <w:rsid w:val="00282F6B"/>
    <w:rsid w:val="002834AE"/>
    <w:rsid w:val="00283E16"/>
    <w:rsid w:val="002864DD"/>
    <w:rsid w:val="002867A3"/>
    <w:rsid w:val="00287145"/>
    <w:rsid w:val="002912CF"/>
    <w:rsid w:val="00293B91"/>
    <w:rsid w:val="00294765"/>
    <w:rsid w:val="00294B38"/>
    <w:rsid w:val="00294D13"/>
    <w:rsid w:val="002A1F2C"/>
    <w:rsid w:val="002A4377"/>
    <w:rsid w:val="002A6D11"/>
    <w:rsid w:val="002A6E58"/>
    <w:rsid w:val="002A7F08"/>
    <w:rsid w:val="002B1159"/>
    <w:rsid w:val="002B1C95"/>
    <w:rsid w:val="002B207C"/>
    <w:rsid w:val="002B7DE2"/>
    <w:rsid w:val="002C11AC"/>
    <w:rsid w:val="002C2535"/>
    <w:rsid w:val="002C38B5"/>
    <w:rsid w:val="002C57FC"/>
    <w:rsid w:val="002C782D"/>
    <w:rsid w:val="002D1B11"/>
    <w:rsid w:val="002D3DEF"/>
    <w:rsid w:val="002E4FB0"/>
    <w:rsid w:val="002E6186"/>
    <w:rsid w:val="002E6C99"/>
    <w:rsid w:val="002F16CD"/>
    <w:rsid w:val="002F1B13"/>
    <w:rsid w:val="002F226C"/>
    <w:rsid w:val="002F3A01"/>
    <w:rsid w:val="002F448C"/>
    <w:rsid w:val="002F4C40"/>
    <w:rsid w:val="003014FB"/>
    <w:rsid w:val="00301655"/>
    <w:rsid w:val="00304B2E"/>
    <w:rsid w:val="00306562"/>
    <w:rsid w:val="003147F9"/>
    <w:rsid w:val="00321415"/>
    <w:rsid w:val="003216CD"/>
    <w:rsid w:val="00322FE3"/>
    <w:rsid w:val="003233E8"/>
    <w:rsid w:val="00335D75"/>
    <w:rsid w:val="0034212A"/>
    <w:rsid w:val="003446E3"/>
    <w:rsid w:val="00344E73"/>
    <w:rsid w:val="00353C90"/>
    <w:rsid w:val="0035716D"/>
    <w:rsid w:val="00357589"/>
    <w:rsid w:val="00357EF1"/>
    <w:rsid w:val="0036151E"/>
    <w:rsid w:val="00363708"/>
    <w:rsid w:val="0036388E"/>
    <w:rsid w:val="00365011"/>
    <w:rsid w:val="0036575A"/>
    <w:rsid w:val="00365B55"/>
    <w:rsid w:val="00366E71"/>
    <w:rsid w:val="0037008B"/>
    <w:rsid w:val="00373E56"/>
    <w:rsid w:val="003754A7"/>
    <w:rsid w:val="003761C2"/>
    <w:rsid w:val="0037647E"/>
    <w:rsid w:val="00377747"/>
    <w:rsid w:val="003806C6"/>
    <w:rsid w:val="00382119"/>
    <w:rsid w:val="0038265D"/>
    <w:rsid w:val="00382F30"/>
    <w:rsid w:val="00383123"/>
    <w:rsid w:val="003852C7"/>
    <w:rsid w:val="00387619"/>
    <w:rsid w:val="00391E6A"/>
    <w:rsid w:val="003920D1"/>
    <w:rsid w:val="00392E7F"/>
    <w:rsid w:val="003935F0"/>
    <w:rsid w:val="003A2729"/>
    <w:rsid w:val="003A294C"/>
    <w:rsid w:val="003A4471"/>
    <w:rsid w:val="003A6933"/>
    <w:rsid w:val="003A6F31"/>
    <w:rsid w:val="003B1DCC"/>
    <w:rsid w:val="003B434C"/>
    <w:rsid w:val="003B4646"/>
    <w:rsid w:val="003B523B"/>
    <w:rsid w:val="003B61C4"/>
    <w:rsid w:val="003B7AAA"/>
    <w:rsid w:val="003B7CD0"/>
    <w:rsid w:val="003B7DB1"/>
    <w:rsid w:val="003C1C38"/>
    <w:rsid w:val="003C27D7"/>
    <w:rsid w:val="003C53D9"/>
    <w:rsid w:val="003C633A"/>
    <w:rsid w:val="003C6353"/>
    <w:rsid w:val="003D0264"/>
    <w:rsid w:val="003D05AA"/>
    <w:rsid w:val="003E101B"/>
    <w:rsid w:val="003E11D6"/>
    <w:rsid w:val="003E1B3E"/>
    <w:rsid w:val="003E1BBA"/>
    <w:rsid w:val="003E1EA4"/>
    <w:rsid w:val="003E2D05"/>
    <w:rsid w:val="003E4AF6"/>
    <w:rsid w:val="003E6541"/>
    <w:rsid w:val="003F518E"/>
    <w:rsid w:val="00402E8B"/>
    <w:rsid w:val="00403B11"/>
    <w:rsid w:val="00405B9E"/>
    <w:rsid w:val="0040752C"/>
    <w:rsid w:val="0041035E"/>
    <w:rsid w:val="00410A58"/>
    <w:rsid w:val="004117B5"/>
    <w:rsid w:val="00414868"/>
    <w:rsid w:val="0041491C"/>
    <w:rsid w:val="00414E87"/>
    <w:rsid w:val="0041610B"/>
    <w:rsid w:val="004206AF"/>
    <w:rsid w:val="004206C8"/>
    <w:rsid w:val="00421517"/>
    <w:rsid w:val="004252B8"/>
    <w:rsid w:val="00425E47"/>
    <w:rsid w:val="00427688"/>
    <w:rsid w:val="00427D0F"/>
    <w:rsid w:val="00431B7D"/>
    <w:rsid w:val="00434715"/>
    <w:rsid w:val="00437BBC"/>
    <w:rsid w:val="004408E1"/>
    <w:rsid w:val="0044136E"/>
    <w:rsid w:val="00441D4F"/>
    <w:rsid w:val="0044370C"/>
    <w:rsid w:val="00444833"/>
    <w:rsid w:val="004455B9"/>
    <w:rsid w:val="0044647E"/>
    <w:rsid w:val="0045134B"/>
    <w:rsid w:val="00454A10"/>
    <w:rsid w:val="00455DCD"/>
    <w:rsid w:val="004563C2"/>
    <w:rsid w:val="004567D2"/>
    <w:rsid w:val="004601C6"/>
    <w:rsid w:val="00461F94"/>
    <w:rsid w:val="00462AEF"/>
    <w:rsid w:val="0046556B"/>
    <w:rsid w:val="00467449"/>
    <w:rsid w:val="0047005D"/>
    <w:rsid w:val="00470A7D"/>
    <w:rsid w:val="0047385A"/>
    <w:rsid w:val="00473D05"/>
    <w:rsid w:val="0047510E"/>
    <w:rsid w:val="0047574F"/>
    <w:rsid w:val="00477962"/>
    <w:rsid w:val="00482E82"/>
    <w:rsid w:val="0048578A"/>
    <w:rsid w:val="00485AD9"/>
    <w:rsid w:val="00490A31"/>
    <w:rsid w:val="00492782"/>
    <w:rsid w:val="0049433D"/>
    <w:rsid w:val="00494B94"/>
    <w:rsid w:val="004966D8"/>
    <w:rsid w:val="00497603"/>
    <w:rsid w:val="004A248B"/>
    <w:rsid w:val="004A64F5"/>
    <w:rsid w:val="004A68BA"/>
    <w:rsid w:val="004A73F6"/>
    <w:rsid w:val="004B07A8"/>
    <w:rsid w:val="004B2320"/>
    <w:rsid w:val="004B5221"/>
    <w:rsid w:val="004B59D8"/>
    <w:rsid w:val="004B7473"/>
    <w:rsid w:val="004C1DDC"/>
    <w:rsid w:val="004C768A"/>
    <w:rsid w:val="004D13D4"/>
    <w:rsid w:val="004D14A2"/>
    <w:rsid w:val="004D2BB9"/>
    <w:rsid w:val="004D4F92"/>
    <w:rsid w:val="004E0381"/>
    <w:rsid w:val="004E18D1"/>
    <w:rsid w:val="004E5CAA"/>
    <w:rsid w:val="004F20D7"/>
    <w:rsid w:val="004F3238"/>
    <w:rsid w:val="004F4268"/>
    <w:rsid w:val="004F5A0D"/>
    <w:rsid w:val="004F602B"/>
    <w:rsid w:val="00500F0C"/>
    <w:rsid w:val="005063CA"/>
    <w:rsid w:val="0051255A"/>
    <w:rsid w:val="00514E71"/>
    <w:rsid w:val="005168F0"/>
    <w:rsid w:val="00521868"/>
    <w:rsid w:val="00522646"/>
    <w:rsid w:val="00522869"/>
    <w:rsid w:val="00523A2F"/>
    <w:rsid w:val="0052528F"/>
    <w:rsid w:val="0053036C"/>
    <w:rsid w:val="00530AE3"/>
    <w:rsid w:val="00531905"/>
    <w:rsid w:val="0054426D"/>
    <w:rsid w:val="00544805"/>
    <w:rsid w:val="00545D6A"/>
    <w:rsid w:val="00546067"/>
    <w:rsid w:val="005466E8"/>
    <w:rsid w:val="00551008"/>
    <w:rsid w:val="005546C6"/>
    <w:rsid w:val="00554962"/>
    <w:rsid w:val="00555EFC"/>
    <w:rsid w:val="00562D2E"/>
    <w:rsid w:val="005632F6"/>
    <w:rsid w:val="005637C1"/>
    <w:rsid w:val="00564246"/>
    <w:rsid w:val="0056425C"/>
    <w:rsid w:val="00567894"/>
    <w:rsid w:val="005710E8"/>
    <w:rsid w:val="005727B0"/>
    <w:rsid w:val="00575827"/>
    <w:rsid w:val="00575E97"/>
    <w:rsid w:val="005770DC"/>
    <w:rsid w:val="00577CBB"/>
    <w:rsid w:val="00585DE2"/>
    <w:rsid w:val="00587050"/>
    <w:rsid w:val="0058749A"/>
    <w:rsid w:val="00587ED9"/>
    <w:rsid w:val="005912D6"/>
    <w:rsid w:val="00591FE7"/>
    <w:rsid w:val="00594DDE"/>
    <w:rsid w:val="00595B33"/>
    <w:rsid w:val="00596341"/>
    <w:rsid w:val="005A22EC"/>
    <w:rsid w:val="005A2C0F"/>
    <w:rsid w:val="005A3F23"/>
    <w:rsid w:val="005B0448"/>
    <w:rsid w:val="005B1E54"/>
    <w:rsid w:val="005B64B8"/>
    <w:rsid w:val="005B7834"/>
    <w:rsid w:val="005B7E28"/>
    <w:rsid w:val="005C02FA"/>
    <w:rsid w:val="005C40E6"/>
    <w:rsid w:val="005C4302"/>
    <w:rsid w:val="005C597B"/>
    <w:rsid w:val="005C59BA"/>
    <w:rsid w:val="005C7FED"/>
    <w:rsid w:val="005D08FA"/>
    <w:rsid w:val="005D1622"/>
    <w:rsid w:val="005D1E75"/>
    <w:rsid w:val="005D483A"/>
    <w:rsid w:val="005E05D8"/>
    <w:rsid w:val="005E1235"/>
    <w:rsid w:val="005E4B37"/>
    <w:rsid w:val="005E506B"/>
    <w:rsid w:val="005E7033"/>
    <w:rsid w:val="005F07C1"/>
    <w:rsid w:val="005F119D"/>
    <w:rsid w:val="005F17C0"/>
    <w:rsid w:val="005F1F0E"/>
    <w:rsid w:val="005F3267"/>
    <w:rsid w:val="005F59AB"/>
    <w:rsid w:val="005F7336"/>
    <w:rsid w:val="0060124D"/>
    <w:rsid w:val="006033D2"/>
    <w:rsid w:val="0060344B"/>
    <w:rsid w:val="006043A7"/>
    <w:rsid w:val="00607BA8"/>
    <w:rsid w:val="006110B5"/>
    <w:rsid w:val="006140C9"/>
    <w:rsid w:val="0062374A"/>
    <w:rsid w:val="006238B6"/>
    <w:rsid w:val="006257CC"/>
    <w:rsid w:val="00625924"/>
    <w:rsid w:val="00625CF0"/>
    <w:rsid w:val="00626064"/>
    <w:rsid w:val="0062718A"/>
    <w:rsid w:val="00635B2A"/>
    <w:rsid w:val="00635DA5"/>
    <w:rsid w:val="00636FCF"/>
    <w:rsid w:val="00637225"/>
    <w:rsid w:val="00641134"/>
    <w:rsid w:val="006413A6"/>
    <w:rsid w:val="00642CBA"/>
    <w:rsid w:val="00642E8E"/>
    <w:rsid w:val="00643F98"/>
    <w:rsid w:val="00644EE3"/>
    <w:rsid w:val="006500BE"/>
    <w:rsid w:val="00654EE1"/>
    <w:rsid w:val="00657573"/>
    <w:rsid w:val="00663EA1"/>
    <w:rsid w:val="00664658"/>
    <w:rsid w:val="0066639A"/>
    <w:rsid w:val="00670D01"/>
    <w:rsid w:val="006734AB"/>
    <w:rsid w:val="006739D4"/>
    <w:rsid w:val="00674CAA"/>
    <w:rsid w:val="0068085C"/>
    <w:rsid w:val="00681E2E"/>
    <w:rsid w:val="00681F5A"/>
    <w:rsid w:val="00682AC8"/>
    <w:rsid w:val="00684FEB"/>
    <w:rsid w:val="00686379"/>
    <w:rsid w:val="00686CC4"/>
    <w:rsid w:val="00687898"/>
    <w:rsid w:val="00691FA9"/>
    <w:rsid w:val="006927EA"/>
    <w:rsid w:val="0069292F"/>
    <w:rsid w:val="00693079"/>
    <w:rsid w:val="0069389C"/>
    <w:rsid w:val="006956B5"/>
    <w:rsid w:val="006A09A2"/>
    <w:rsid w:val="006A3468"/>
    <w:rsid w:val="006A6235"/>
    <w:rsid w:val="006A6C3E"/>
    <w:rsid w:val="006B0296"/>
    <w:rsid w:val="006B3A55"/>
    <w:rsid w:val="006B3C15"/>
    <w:rsid w:val="006B598A"/>
    <w:rsid w:val="006B73D9"/>
    <w:rsid w:val="006B76C4"/>
    <w:rsid w:val="006C1373"/>
    <w:rsid w:val="006C2118"/>
    <w:rsid w:val="006C52F5"/>
    <w:rsid w:val="006C597B"/>
    <w:rsid w:val="006C6EB7"/>
    <w:rsid w:val="006D1DDD"/>
    <w:rsid w:val="006D2D92"/>
    <w:rsid w:val="006D40F3"/>
    <w:rsid w:val="006E0D1A"/>
    <w:rsid w:val="006E179C"/>
    <w:rsid w:val="006E2AD4"/>
    <w:rsid w:val="006E4FB7"/>
    <w:rsid w:val="006F0567"/>
    <w:rsid w:val="006F2D9C"/>
    <w:rsid w:val="006F30DA"/>
    <w:rsid w:val="006F50A9"/>
    <w:rsid w:val="006F76DC"/>
    <w:rsid w:val="00700781"/>
    <w:rsid w:val="00702273"/>
    <w:rsid w:val="007042E0"/>
    <w:rsid w:val="00705022"/>
    <w:rsid w:val="00705410"/>
    <w:rsid w:val="00705722"/>
    <w:rsid w:val="00707461"/>
    <w:rsid w:val="00707C4F"/>
    <w:rsid w:val="007133A5"/>
    <w:rsid w:val="00713BBF"/>
    <w:rsid w:val="007158F3"/>
    <w:rsid w:val="00720EC8"/>
    <w:rsid w:val="007225EC"/>
    <w:rsid w:val="007227CC"/>
    <w:rsid w:val="007267B4"/>
    <w:rsid w:val="00727AB9"/>
    <w:rsid w:val="00731D0C"/>
    <w:rsid w:val="00732B61"/>
    <w:rsid w:val="0073567E"/>
    <w:rsid w:val="00741895"/>
    <w:rsid w:val="00743A2D"/>
    <w:rsid w:val="0074451B"/>
    <w:rsid w:val="0074483A"/>
    <w:rsid w:val="007478F4"/>
    <w:rsid w:val="007504CC"/>
    <w:rsid w:val="00752711"/>
    <w:rsid w:val="00754658"/>
    <w:rsid w:val="00754FCE"/>
    <w:rsid w:val="007559FD"/>
    <w:rsid w:val="007561EF"/>
    <w:rsid w:val="0075753B"/>
    <w:rsid w:val="00757D5A"/>
    <w:rsid w:val="007635CF"/>
    <w:rsid w:val="00771D4A"/>
    <w:rsid w:val="00776CBE"/>
    <w:rsid w:val="00777A36"/>
    <w:rsid w:val="007819AD"/>
    <w:rsid w:val="007821B0"/>
    <w:rsid w:val="00782FCD"/>
    <w:rsid w:val="00783399"/>
    <w:rsid w:val="00784EB3"/>
    <w:rsid w:val="007867AA"/>
    <w:rsid w:val="00786C32"/>
    <w:rsid w:val="007875A3"/>
    <w:rsid w:val="007915C3"/>
    <w:rsid w:val="00791ACF"/>
    <w:rsid w:val="00792719"/>
    <w:rsid w:val="0079694E"/>
    <w:rsid w:val="00796C3C"/>
    <w:rsid w:val="0079713F"/>
    <w:rsid w:val="007A0B52"/>
    <w:rsid w:val="007A0FD8"/>
    <w:rsid w:val="007A486D"/>
    <w:rsid w:val="007B06EA"/>
    <w:rsid w:val="007B417B"/>
    <w:rsid w:val="007B4AC0"/>
    <w:rsid w:val="007B5304"/>
    <w:rsid w:val="007B56B8"/>
    <w:rsid w:val="007B6528"/>
    <w:rsid w:val="007B77C9"/>
    <w:rsid w:val="007C5704"/>
    <w:rsid w:val="007C78A9"/>
    <w:rsid w:val="007C7930"/>
    <w:rsid w:val="007D3C2E"/>
    <w:rsid w:val="007E1EE9"/>
    <w:rsid w:val="007E4EE9"/>
    <w:rsid w:val="007E74BC"/>
    <w:rsid w:val="007F2DED"/>
    <w:rsid w:val="007F2F4B"/>
    <w:rsid w:val="007F6366"/>
    <w:rsid w:val="00800691"/>
    <w:rsid w:val="00801451"/>
    <w:rsid w:val="00803827"/>
    <w:rsid w:val="008043C6"/>
    <w:rsid w:val="00804414"/>
    <w:rsid w:val="00805928"/>
    <w:rsid w:val="00806B6E"/>
    <w:rsid w:val="008107BD"/>
    <w:rsid w:val="00810F7A"/>
    <w:rsid w:val="00811D42"/>
    <w:rsid w:val="00813F7E"/>
    <w:rsid w:val="008158D1"/>
    <w:rsid w:val="00816EA9"/>
    <w:rsid w:val="00824CB1"/>
    <w:rsid w:val="00827038"/>
    <w:rsid w:val="0082781C"/>
    <w:rsid w:val="0083540C"/>
    <w:rsid w:val="00837839"/>
    <w:rsid w:val="0084041A"/>
    <w:rsid w:val="008448DC"/>
    <w:rsid w:val="008475A8"/>
    <w:rsid w:val="00850E06"/>
    <w:rsid w:val="00851E9E"/>
    <w:rsid w:val="00861863"/>
    <w:rsid w:val="00862278"/>
    <w:rsid w:val="00862D82"/>
    <w:rsid w:val="0086454F"/>
    <w:rsid w:val="00865667"/>
    <w:rsid w:val="008673F9"/>
    <w:rsid w:val="00870E5E"/>
    <w:rsid w:val="00872B06"/>
    <w:rsid w:val="008756BF"/>
    <w:rsid w:val="0087632D"/>
    <w:rsid w:val="00876F60"/>
    <w:rsid w:val="00886689"/>
    <w:rsid w:val="00887DE2"/>
    <w:rsid w:val="00891FE9"/>
    <w:rsid w:val="00895780"/>
    <w:rsid w:val="008960DD"/>
    <w:rsid w:val="00897A6C"/>
    <w:rsid w:val="008A41DD"/>
    <w:rsid w:val="008A461D"/>
    <w:rsid w:val="008A4E9C"/>
    <w:rsid w:val="008A50CC"/>
    <w:rsid w:val="008B14CA"/>
    <w:rsid w:val="008B1DB4"/>
    <w:rsid w:val="008B33C1"/>
    <w:rsid w:val="008B415E"/>
    <w:rsid w:val="008C0141"/>
    <w:rsid w:val="008C0561"/>
    <w:rsid w:val="008C0AD6"/>
    <w:rsid w:val="008C1884"/>
    <w:rsid w:val="008C57F6"/>
    <w:rsid w:val="008C735B"/>
    <w:rsid w:val="008D12A7"/>
    <w:rsid w:val="008D32E3"/>
    <w:rsid w:val="008D3BE1"/>
    <w:rsid w:val="008D48B3"/>
    <w:rsid w:val="008D51BB"/>
    <w:rsid w:val="008E0186"/>
    <w:rsid w:val="008E09C7"/>
    <w:rsid w:val="008E33EB"/>
    <w:rsid w:val="008E5109"/>
    <w:rsid w:val="008E7AC9"/>
    <w:rsid w:val="008F0C47"/>
    <w:rsid w:val="008F11B7"/>
    <w:rsid w:val="00900CA5"/>
    <w:rsid w:val="009017D9"/>
    <w:rsid w:val="00903B5C"/>
    <w:rsid w:val="0090591E"/>
    <w:rsid w:val="009111E0"/>
    <w:rsid w:val="009111ED"/>
    <w:rsid w:val="0091273E"/>
    <w:rsid w:val="00912EEA"/>
    <w:rsid w:val="00917CAA"/>
    <w:rsid w:val="009203D8"/>
    <w:rsid w:val="00935DF9"/>
    <w:rsid w:val="009403BC"/>
    <w:rsid w:val="00941D75"/>
    <w:rsid w:val="00942D31"/>
    <w:rsid w:val="0094543C"/>
    <w:rsid w:val="0095101A"/>
    <w:rsid w:val="0095134E"/>
    <w:rsid w:val="0095289C"/>
    <w:rsid w:val="00953E90"/>
    <w:rsid w:val="00954DA0"/>
    <w:rsid w:val="00956AAF"/>
    <w:rsid w:val="009612D3"/>
    <w:rsid w:val="00962872"/>
    <w:rsid w:val="00963698"/>
    <w:rsid w:val="00965071"/>
    <w:rsid w:val="0096619E"/>
    <w:rsid w:val="0097246D"/>
    <w:rsid w:val="0097266A"/>
    <w:rsid w:val="0097342D"/>
    <w:rsid w:val="00974896"/>
    <w:rsid w:val="0097573E"/>
    <w:rsid w:val="0097690B"/>
    <w:rsid w:val="00976C51"/>
    <w:rsid w:val="009779EC"/>
    <w:rsid w:val="009820E8"/>
    <w:rsid w:val="00982E35"/>
    <w:rsid w:val="009830D4"/>
    <w:rsid w:val="009842B6"/>
    <w:rsid w:val="00984E45"/>
    <w:rsid w:val="00986263"/>
    <w:rsid w:val="009869A5"/>
    <w:rsid w:val="00987453"/>
    <w:rsid w:val="009915A3"/>
    <w:rsid w:val="009924B3"/>
    <w:rsid w:val="009949FC"/>
    <w:rsid w:val="009A02E0"/>
    <w:rsid w:val="009A0BEB"/>
    <w:rsid w:val="009A15B8"/>
    <w:rsid w:val="009A3407"/>
    <w:rsid w:val="009A4088"/>
    <w:rsid w:val="009A7C2F"/>
    <w:rsid w:val="009B2DE9"/>
    <w:rsid w:val="009B357D"/>
    <w:rsid w:val="009B56CF"/>
    <w:rsid w:val="009B57D6"/>
    <w:rsid w:val="009B59D7"/>
    <w:rsid w:val="009B6DF1"/>
    <w:rsid w:val="009C1B44"/>
    <w:rsid w:val="009C20CC"/>
    <w:rsid w:val="009C2848"/>
    <w:rsid w:val="009C36CF"/>
    <w:rsid w:val="009C6653"/>
    <w:rsid w:val="009C704C"/>
    <w:rsid w:val="009C791E"/>
    <w:rsid w:val="009D0C73"/>
    <w:rsid w:val="009D1D9A"/>
    <w:rsid w:val="009D4013"/>
    <w:rsid w:val="009D7FD4"/>
    <w:rsid w:val="009E0600"/>
    <w:rsid w:val="009E2067"/>
    <w:rsid w:val="009E22BA"/>
    <w:rsid w:val="009E41B2"/>
    <w:rsid w:val="009E4B13"/>
    <w:rsid w:val="009E51C5"/>
    <w:rsid w:val="009E5A29"/>
    <w:rsid w:val="009E5D0A"/>
    <w:rsid w:val="009E62AF"/>
    <w:rsid w:val="009F1B42"/>
    <w:rsid w:val="009F2A2F"/>
    <w:rsid w:val="009F2C0A"/>
    <w:rsid w:val="00A00AED"/>
    <w:rsid w:val="00A01D28"/>
    <w:rsid w:val="00A02499"/>
    <w:rsid w:val="00A02F5A"/>
    <w:rsid w:val="00A05230"/>
    <w:rsid w:val="00A05C22"/>
    <w:rsid w:val="00A0635C"/>
    <w:rsid w:val="00A0676B"/>
    <w:rsid w:val="00A06A9D"/>
    <w:rsid w:val="00A16E91"/>
    <w:rsid w:val="00A17C56"/>
    <w:rsid w:val="00A20B49"/>
    <w:rsid w:val="00A21B9B"/>
    <w:rsid w:val="00A22C85"/>
    <w:rsid w:val="00A258F0"/>
    <w:rsid w:val="00A25DD0"/>
    <w:rsid w:val="00A268DE"/>
    <w:rsid w:val="00A27CFD"/>
    <w:rsid w:val="00A30ADA"/>
    <w:rsid w:val="00A30CDD"/>
    <w:rsid w:val="00A32C56"/>
    <w:rsid w:val="00A3567B"/>
    <w:rsid w:val="00A358B8"/>
    <w:rsid w:val="00A365AB"/>
    <w:rsid w:val="00A379F9"/>
    <w:rsid w:val="00A45987"/>
    <w:rsid w:val="00A4603B"/>
    <w:rsid w:val="00A476BA"/>
    <w:rsid w:val="00A50E03"/>
    <w:rsid w:val="00A563E0"/>
    <w:rsid w:val="00A56892"/>
    <w:rsid w:val="00A56E5B"/>
    <w:rsid w:val="00A64486"/>
    <w:rsid w:val="00A655FE"/>
    <w:rsid w:val="00A73999"/>
    <w:rsid w:val="00A740EF"/>
    <w:rsid w:val="00A76671"/>
    <w:rsid w:val="00A83784"/>
    <w:rsid w:val="00A85849"/>
    <w:rsid w:val="00A90F90"/>
    <w:rsid w:val="00A91427"/>
    <w:rsid w:val="00A93EED"/>
    <w:rsid w:val="00A9547A"/>
    <w:rsid w:val="00A96731"/>
    <w:rsid w:val="00A96C59"/>
    <w:rsid w:val="00AA0323"/>
    <w:rsid w:val="00AA1711"/>
    <w:rsid w:val="00AA53AA"/>
    <w:rsid w:val="00AA6123"/>
    <w:rsid w:val="00AA6203"/>
    <w:rsid w:val="00AA6662"/>
    <w:rsid w:val="00AA73ED"/>
    <w:rsid w:val="00AB3E52"/>
    <w:rsid w:val="00AB4C78"/>
    <w:rsid w:val="00AC37A6"/>
    <w:rsid w:val="00AC603A"/>
    <w:rsid w:val="00AC6A97"/>
    <w:rsid w:val="00AC700F"/>
    <w:rsid w:val="00AD0659"/>
    <w:rsid w:val="00AD0944"/>
    <w:rsid w:val="00AD10A2"/>
    <w:rsid w:val="00AD2356"/>
    <w:rsid w:val="00AD2E28"/>
    <w:rsid w:val="00AD3290"/>
    <w:rsid w:val="00AF087C"/>
    <w:rsid w:val="00AF089D"/>
    <w:rsid w:val="00AF1A17"/>
    <w:rsid w:val="00AF299E"/>
    <w:rsid w:val="00AF5A5F"/>
    <w:rsid w:val="00AF6DFE"/>
    <w:rsid w:val="00AF74B0"/>
    <w:rsid w:val="00B01605"/>
    <w:rsid w:val="00B0179C"/>
    <w:rsid w:val="00B02785"/>
    <w:rsid w:val="00B06091"/>
    <w:rsid w:val="00B104C0"/>
    <w:rsid w:val="00B12FC3"/>
    <w:rsid w:val="00B13096"/>
    <w:rsid w:val="00B158CE"/>
    <w:rsid w:val="00B15C58"/>
    <w:rsid w:val="00B15CD8"/>
    <w:rsid w:val="00B17329"/>
    <w:rsid w:val="00B22392"/>
    <w:rsid w:val="00B237A3"/>
    <w:rsid w:val="00B25481"/>
    <w:rsid w:val="00B2749F"/>
    <w:rsid w:val="00B277A6"/>
    <w:rsid w:val="00B33209"/>
    <w:rsid w:val="00B33383"/>
    <w:rsid w:val="00B372F2"/>
    <w:rsid w:val="00B41A56"/>
    <w:rsid w:val="00B42A45"/>
    <w:rsid w:val="00B440A5"/>
    <w:rsid w:val="00B46ACF"/>
    <w:rsid w:val="00B51A86"/>
    <w:rsid w:val="00B51E9A"/>
    <w:rsid w:val="00B525E1"/>
    <w:rsid w:val="00B53EEA"/>
    <w:rsid w:val="00B55821"/>
    <w:rsid w:val="00B608F6"/>
    <w:rsid w:val="00B60ED3"/>
    <w:rsid w:val="00B63617"/>
    <w:rsid w:val="00B64DB5"/>
    <w:rsid w:val="00B65D78"/>
    <w:rsid w:val="00B70ED9"/>
    <w:rsid w:val="00B72B03"/>
    <w:rsid w:val="00B75AA4"/>
    <w:rsid w:val="00B81017"/>
    <w:rsid w:val="00B8533C"/>
    <w:rsid w:val="00B866F8"/>
    <w:rsid w:val="00B877CD"/>
    <w:rsid w:val="00B87ECF"/>
    <w:rsid w:val="00B90512"/>
    <w:rsid w:val="00B93A70"/>
    <w:rsid w:val="00BA721F"/>
    <w:rsid w:val="00BA74CE"/>
    <w:rsid w:val="00BA7C40"/>
    <w:rsid w:val="00BB0BD8"/>
    <w:rsid w:val="00BB4832"/>
    <w:rsid w:val="00BB59DD"/>
    <w:rsid w:val="00BC2F2E"/>
    <w:rsid w:val="00BC58E3"/>
    <w:rsid w:val="00BC5A6B"/>
    <w:rsid w:val="00BD0275"/>
    <w:rsid w:val="00BD6AA8"/>
    <w:rsid w:val="00BE2F77"/>
    <w:rsid w:val="00BE3410"/>
    <w:rsid w:val="00BE343E"/>
    <w:rsid w:val="00BE3C10"/>
    <w:rsid w:val="00BE47A3"/>
    <w:rsid w:val="00BF2154"/>
    <w:rsid w:val="00BF3D17"/>
    <w:rsid w:val="00BF629C"/>
    <w:rsid w:val="00C00657"/>
    <w:rsid w:val="00C01AB8"/>
    <w:rsid w:val="00C03B17"/>
    <w:rsid w:val="00C03C2A"/>
    <w:rsid w:val="00C05615"/>
    <w:rsid w:val="00C05D91"/>
    <w:rsid w:val="00C06FF7"/>
    <w:rsid w:val="00C1181D"/>
    <w:rsid w:val="00C13280"/>
    <w:rsid w:val="00C13D89"/>
    <w:rsid w:val="00C13E32"/>
    <w:rsid w:val="00C14D3F"/>
    <w:rsid w:val="00C14FDD"/>
    <w:rsid w:val="00C17AE7"/>
    <w:rsid w:val="00C27657"/>
    <w:rsid w:val="00C30183"/>
    <w:rsid w:val="00C31243"/>
    <w:rsid w:val="00C3300C"/>
    <w:rsid w:val="00C33029"/>
    <w:rsid w:val="00C338EA"/>
    <w:rsid w:val="00C33B85"/>
    <w:rsid w:val="00C35C45"/>
    <w:rsid w:val="00C36814"/>
    <w:rsid w:val="00C37795"/>
    <w:rsid w:val="00C40539"/>
    <w:rsid w:val="00C4214E"/>
    <w:rsid w:val="00C4283D"/>
    <w:rsid w:val="00C50284"/>
    <w:rsid w:val="00C525BF"/>
    <w:rsid w:val="00C550F8"/>
    <w:rsid w:val="00C560C2"/>
    <w:rsid w:val="00C57ABB"/>
    <w:rsid w:val="00C57B3C"/>
    <w:rsid w:val="00C60E30"/>
    <w:rsid w:val="00C62140"/>
    <w:rsid w:val="00C63682"/>
    <w:rsid w:val="00C64864"/>
    <w:rsid w:val="00C67EB8"/>
    <w:rsid w:val="00C70622"/>
    <w:rsid w:val="00C70ECB"/>
    <w:rsid w:val="00C718E8"/>
    <w:rsid w:val="00C726F9"/>
    <w:rsid w:val="00C738CA"/>
    <w:rsid w:val="00C766F3"/>
    <w:rsid w:val="00C806C1"/>
    <w:rsid w:val="00C84EAD"/>
    <w:rsid w:val="00C878E4"/>
    <w:rsid w:val="00C91323"/>
    <w:rsid w:val="00CA006F"/>
    <w:rsid w:val="00CA11AC"/>
    <w:rsid w:val="00CA408B"/>
    <w:rsid w:val="00CA66DB"/>
    <w:rsid w:val="00CA7BDA"/>
    <w:rsid w:val="00CB5812"/>
    <w:rsid w:val="00CB5DE3"/>
    <w:rsid w:val="00CB7350"/>
    <w:rsid w:val="00CC1BA9"/>
    <w:rsid w:val="00CC2E77"/>
    <w:rsid w:val="00CC38B9"/>
    <w:rsid w:val="00CC4F7C"/>
    <w:rsid w:val="00CD01C2"/>
    <w:rsid w:val="00CD1574"/>
    <w:rsid w:val="00CD4AF4"/>
    <w:rsid w:val="00CD6B55"/>
    <w:rsid w:val="00CD7D5D"/>
    <w:rsid w:val="00CE5822"/>
    <w:rsid w:val="00CE692D"/>
    <w:rsid w:val="00CE7920"/>
    <w:rsid w:val="00CF160B"/>
    <w:rsid w:val="00CF24E9"/>
    <w:rsid w:val="00CF7DB9"/>
    <w:rsid w:val="00D00F17"/>
    <w:rsid w:val="00D04118"/>
    <w:rsid w:val="00D049C9"/>
    <w:rsid w:val="00D0589C"/>
    <w:rsid w:val="00D05C8D"/>
    <w:rsid w:val="00D06D3D"/>
    <w:rsid w:val="00D116D6"/>
    <w:rsid w:val="00D1352E"/>
    <w:rsid w:val="00D14EE3"/>
    <w:rsid w:val="00D16FDD"/>
    <w:rsid w:val="00D20A9B"/>
    <w:rsid w:val="00D2277C"/>
    <w:rsid w:val="00D23145"/>
    <w:rsid w:val="00D23E26"/>
    <w:rsid w:val="00D251C2"/>
    <w:rsid w:val="00D25474"/>
    <w:rsid w:val="00D312CB"/>
    <w:rsid w:val="00D316DA"/>
    <w:rsid w:val="00D31C2A"/>
    <w:rsid w:val="00D322AB"/>
    <w:rsid w:val="00D32F51"/>
    <w:rsid w:val="00D33D78"/>
    <w:rsid w:val="00D35813"/>
    <w:rsid w:val="00D3679E"/>
    <w:rsid w:val="00D37062"/>
    <w:rsid w:val="00D403BF"/>
    <w:rsid w:val="00D40784"/>
    <w:rsid w:val="00D524B7"/>
    <w:rsid w:val="00D54CB4"/>
    <w:rsid w:val="00D5567F"/>
    <w:rsid w:val="00D577BA"/>
    <w:rsid w:val="00D64B06"/>
    <w:rsid w:val="00D72695"/>
    <w:rsid w:val="00D752CA"/>
    <w:rsid w:val="00D758AE"/>
    <w:rsid w:val="00D85CA5"/>
    <w:rsid w:val="00D87869"/>
    <w:rsid w:val="00D92367"/>
    <w:rsid w:val="00D9283C"/>
    <w:rsid w:val="00D9320A"/>
    <w:rsid w:val="00D94C4D"/>
    <w:rsid w:val="00D95B09"/>
    <w:rsid w:val="00D9651F"/>
    <w:rsid w:val="00D9711D"/>
    <w:rsid w:val="00DA335E"/>
    <w:rsid w:val="00DA49FE"/>
    <w:rsid w:val="00DA554F"/>
    <w:rsid w:val="00DA6B2E"/>
    <w:rsid w:val="00DA6D9B"/>
    <w:rsid w:val="00DA7947"/>
    <w:rsid w:val="00DB406A"/>
    <w:rsid w:val="00DB6243"/>
    <w:rsid w:val="00DB7159"/>
    <w:rsid w:val="00DB7AA0"/>
    <w:rsid w:val="00DB7AF5"/>
    <w:rsid w:val="00DC0003"/>
    <w:rsid w:val="00DC3789"/>
    <w:rsid w:val="00DC58D1"/>
    <w:rsid w:val="00DC79E1"/>
    <w:rsid w:val="00DD46CE"/>
    <w:rsid w:val="00DD51CA"/>
    <w:rsid w:val="00DD5D3C"/>
    <w:rsid w:val="00DD6B55"/>
    <w:rsid w:val="00DE0567"/>
    <w:rsid w:val="00DE1816"/>
    <w:rsid w:val="00DE24B7"/>
    <w:rsid w:val="00DE3AC8"/>
    <w:rsid w:val="00DE4C84"/>
    <w:rsid w:val="00DE4E5A"/>
    <w:rsid w:val="00DE6616"/>
    <w:rsid w:val="00DF04DD"/>
    <w:rsid w:val="00DF439E"/>
    <w:rsid w:val="00DF5141"/>
    <w:rsid w:val="00E1228A"/>
    <w:rsid w:val="00E143E2"/>
    <w:rsid w:val="00E15510"/>
    <w:rsid w:val="00E17AE1"/>
    <w:rsid w:val="00E232D7"/>
    <w:rsid w:val="00E257BA"/>
    <w:rsid w:val="00E30058"/>
    <w:rsid w:val="00E306F6"/>
    <w:rsid w:val="00E31F75"/>
    <w:rsid w:val="00E34307"/>
    <w:rsid w:val="00E36C6E"/>
    <w:rsid w:val="00E43441"/>
    <w:rsid w:val="00E44770"/>
    <w:rsid w:val="00E47EC0"/>
    <w:rsid w:val="00E52C62"/>
    <w:rsid w:val="00E54360"/>
    <w:rsid w:val="00E5442E"/>
    <w:rsid w:val="00E54843"/>
    <w:rsid w:val="00E55175"/>
    <w:rsid w:val="00E55E8D"/>
    <w:rsid w:val="00E610D8"/>
    <w:rsid w:val="00E61C7F"/>
    <w:rsid w:val="00E73662"/>
    <w:rsid w:val="00E7376C"/>
    <w:rsid w:val="00E738A4"/>
    <w:rsid w:val="00E752E8"/>
    <w:rsid w:val="00E75CE8"/>
    <w:rsid w:val="00E7625A"/>
    <w:rsid w:val="00E77123"/>
    <w:rsid w:val="00E823A4"/>
    <w:rsid w:val="00E82BB3"/>
    <w:rsid w:val="00E844B1"/>
    <w:rsid w:val="00E86B83"/>
    <w:rsid w:val="00E87A3D"/>
    <w:rsid w:val="00E87AF9"/>
    <w:rsid w:val="00E94101"/>
    <w:rsid w:val="00E961D0"/>
    <w:rsid w:val="00EA225D"/>
    <w:rsid w:val="00EA3876"/>
    <w:rsid w:val="00EA4404"/>
    <w:rsid w:val="00EA5149"/>
    <w:rsid w:val="00EA58DD"/>
    <w:rsid w:val="00EA67DA"/>
    <w:rsid w:val="00EA70E6"/>
    <w:rsid w:val="00EA75D9"/>
    <w:rsid w:val="00EB0F8F"/>
    <w:rsid w:val="00EB354D"/>
    <w:rsid w:val="00EB47D7"/>
    <w:rsid w:val="00EB6DFC"/>
    <w:rsid w:val="00EB7A9C"/>
    <w:rsid w:val="00EC1D5A"/>
    <w:rsid w:val="00EC220D"/>
    <w:rsid w:val="00EC2A1B"/>
    <w:rsid w:val="00EC71EF"/>
    <w:rsid w:val="00EC7D35"/>
    <w:rsid w:val="00ED0318"/>
    <w:rsid w:val="00ED0BC7"/>
    <w:rsid w:val="00ED3471"/>
    <w:rsid w:val="00ED4F4B"/>
    <w:rsid w:val="00ED5083"/>
    <w:rsid w:val="00EE0404"/>
    <w:rsid w:val="00EE041F"/>
    <w:rsid w:val="00EF4320"/>
    <w:rsid w:val="00EF43E5"/>
    <w:rsid w:val="00EF477F"/>
    <w:rsid w:val="00EF4918"/>
    <w:rsid w:val="00EF6C0A"/>
    <w:rsid w:val="00EF6E14"/>
    <w:rsid w:val="00EF7FD6"/>
    <w:rsid w:val="00F007AB"/>
    <w:rsid w:val="00F02CE0"/>
    <w:rsid w:val="00F0525D"/>
    <w:rsid w:val="00F06700"/>
    <w:rsid w:val="00F06D7D"/>
    <w:rsid w:val="00F15994"/>
    <w:rsid w:val="00F15BAF"/>
    <w:rsid w:val="00F15C86"/>
    <w:rsid w:val="00F16AB9"/>
    <w:rsid w:val="00F22872"/>
    <w:rsid w:val="00F23B24"/>
    <w:rsid w:val="00F275D8"/>
    <w:rsid w:val="00F27B37"/>
    <w:rsid w:val="00F27CCC"/>
    <w:rsid w:val="00F32597"/>
    <w:rsid w:val="00F33A08"/>
    <w:rsid w:val="00F34618"/>
    <w:rsid w:val="00F374E5"/>
    <w:rsid w:val="00F37C83"/>
    <w:rsid w:val="00F43629"/>
    <w:rsid w:val="00F43D57"/>
    <w:rsid w:val="00F43FC8"/>
    <w:rsid w:val="00F45BC8"/>
    <w:rsid w:val="00F46E2E"/>
    <w:rsid w:val="00F470E9"/>
    <w:rsid w:val="00F527A0"/>
    <w:rsid w:val="00F52F15"/>
    <w:rsid w:val="00F555C1"/>
    <w:rsid w:val="00F602C4"/>
    <w:rsid w:val="00F61CFC"/>
    <w:rsid w:val="00F61F32"/>
    <w:rsid w:val="00F63ADF"/>
    <w:rsid w:val="00F65E03"/>
    <w:rsid w:val="00F66E97"/>
    <w:rsid w:val="00F703DF"/>
    <w:rsid w:val="00F70FA7"/>
    <w:rsid w:val="00F82988"/>
    <w:rsid w:val="00F833F2"/>
    <w:rsid w:val="00F85FEA"/>
    <w:rsid w:val="00F87CA1"/>
    <w:rsid w:val="00F91306"/>
    <w:rsid w:val="00F91E96"/>
    <w:rsid w:val="00F93EC4"/>
    <w:rsid w:val="00F94735"/>
    <w:rsid w:val="00F94944"/>
    <w:rsid w:val="00F94CA4"/>
    <w:rsid w:val="00F960C4"/>
    <w:rsid w:val="00F96E4A"/>
    <w:rsid w:val="00FA11B1"/>
    <w:rsid w:val="00FA30EC"/>
    <w:rsid w:val="00FA4B33"/>
    <w:rsid w:val="00FA6F18"/>
    <w:rsid w:val="00FB0E19"/>
    <w:rsid w:val="00FB16FB"/>
    <w:rsid w:val="00FB2573"/>
    <w:rsid w:val="00FB37AA"/>
    <w:rsid w:val="00FB7F89"/>
    <w:rsid w:val="00FC2C6C"/>
    <w:rsid w:val="00FC3AAD"/>
    <w:rsid w:val="00FC4CA4"/>
    <w:rsid w:val="00FD3CBE"/>
    <w:rsid w:val="00FD7D27"/>
    <w:rsid w:val="00FE424F"/>
    <w:rsid w:val="00FE4E27"/>
    <w:rsid w:val="00FE5E40"/>
    <w:rsid w:val="00FE6BEA"/>
    <w:rsid w:val="00FF08BF"/>
    <w:rsid w:val="00FF1198"/>
    <w:rsid w:val="00FF4174"/>
    <w:rsid w:val="00FF7B6A"/>
    <w:rsid w:val="02C06F6D"/>
    <w:rsid w:val="02DC4F6F"/>
    <w:rsid w:val="03460CD9"/>
    <w:rsid w:val="06E75409"/>
    <w:rsid w:val="073B51B7"/>
    <w:rsid w:val="0797103D"/>
    <w:rsid w:val="0B3704B4"/>
    <w:rsid w:val="0C7327EB"/>
    <w:rsid w:val="0C8063E7"/>
    <w:rsid w:val="0C9F7A36"/>
    <w:rsid w:val="0CAC517A"/>
    <w:rsid w:val="0CE972B8"/>
    <w:rsid w:val="0DB03D55"/>
    <w:rsid w:val="0EB86E27"/>
    <w:rsid w:val="10F93F06"/>
    <w:rsid w:val="13F51DE7"/>
    <w:rsid w:val="1450231E"/>
    <w:rsid w:val="14950727"/>
    <w:rsid w:val="15B80698"/>
    <w:rsid w:val="172F2F59"/>
    <w:rsid w:val="17534CEC"/>
    <w:rsid w:val="179D1EDB"/>
    <w:rsid w:val="1A9637AF"/>
    <w:rsid w:val="1BDE13C1"/>
    <w:rsid w:val="1BDF4A30"/>
    <w:rsid w:val="1CE47554"/>
    <w:rsid w:val="1CF90154"/>
    <w:rsid w:val="208D2895"/>
    <w:rsid w:val="20B73C42"/>
    <w:rsid w:val="220B6B38"/>
    <w:rsid w:val="25C82A4C"/>
    <w:rsid w:val="26153389"/>
    <w:rsid w:val="27DD2B84"/>
    <w:rsid w:val="29C23C24"/>
    <w:rsid w:val="2C6145B0"/>
    <w:rsid w:val="2C9456EE"/>
    <w:rsid w:val="2D00084B"/>
    <w:rsid w:val="2D5533A1"/>
    <w:rsid w:val="2DA26642"/>
    <w:rsid w:val="2F172B1B"/>
    <w:rsid w:val="2F817BE3"/>
    <w:rsid w:val="319B603A"/>
    <w:rsid w:val="325E2F6A"/>
    <w:rsid w:val="33375694"/>
    <w:rsid w:val="339802E0"/>
    <w:rsid w:val="342A6B27"/>
    <w:rsid w:val="355F3466"/>
    <w:rsid w:val="36232246"/>
    <w:rsid w:val="37FF69FD"/>
    <w:rsid w:val="384D221C"/>
    <w:rsid w:val="388131BD"/>
    <w:rsid w:val="394D4F22"/>
    <w:rsid w:val="3A541FF7"/>
    <w:rsid w:val="3AE85EBF"/>
    <w:rsid w:val="3B231DB6"/>
    <w:rsid w:val="3C6B5B77"/>
    <w:rsid w:val="3DD07A46"/>
    <w:rsid w:val="404C56FF"/>
    <w:rsid w:val="41C77FE8"/>
    <w:rsid w:val="44122E34"/>
    <w:rsid w:val="45EC4713"/>
    <w:rsid w:val="45F762BD"/>
    <w:rsid w:val="4AB560CE"/>
    <w:rsid w:val="4DED3CD5"/>
    <w:rsid w:val="4E080B51"/>
    <w:rsid w:val="4F7C6051"/>
    <w:rsid w:val="50CB1798"/>
    <w:rsid w:val="513D70DA"/>
    <w:rsid w:val="51D71EED"/>
    <w:rsid w:val="52634A96"/>
    <w:rsid w:val="538E2D0B"/>
    <w:rsid w:val="56454D62"/>
    <w:rsid w:val="598072CA"/>
    <w:rsid w:val="5AED229C"/>
    <w:rsid w:val="5B8B1199"/>
    <w:rsid w:val="5C597408"/>
    <w:rsid w:val="5CB069F1"/>
    <w:rsid w:val="5D8B6D68"/>
    <w:rsid w:val="5E465936"/>
    <w:rsid w:val="5EBC12FA"/>
    <w:rsid w:val="5F961379"/>
    <w:rsid w:val="5F9D7B88"/>
    <w:rsid w:val="5FCF4E6E"/>
    <w:rsid w:val="603A41BB"/>
    <w:rsid w:val="612F3F66"/>
    <w:rsid w:val="66DE0B02"/>
    <w:rsid w:val="679F325F"/>
    <w:rsid w:val="6835642B"/>
    <w:rsid w:val="6A475D4D"/>
    <w:rsid w:val="6AEF312F"/>
    <w:rsid w:val="6BB67446"/>
    <w:rsid w:val="6ED274D6"/>
    <w:rsid w:val="6EE72672"/>
    <w:rsid w:val="715603A1"/>
    <w:rsid w:val="719A4CC7"/>
    <w:rsid w:val="72AE00E5"/>
    <w:rsid w:val="72E8428C"/>
    <w:rsid w:val="74180B9A"/>
    <w:rsid w:val="744E5595"/>
    <w:rsid w:val="75BD6C28"/>
    <w:rsid w:val="75E8386D"/>
    <w:rsid w:val="767A4544"/>
    <w:rsid w:val="77B0779C"/>
    <w:rsid w:val="780E5898"/>
    <w:rsid w:val="787248B0"/>
    <w:rsid w:val="78941DA6"/>
    <w:rsid w:val="79B32B63"/>
    <w:rsid w:val="7A0D7DD8"/>
    <w:rsid w:val="7AA52375"/>
    <w:rsid w:val="7C60038E"/>
    <w:rsid w:val="7F6762BE"/>
    <w:rsid w:val="7FF70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宋体" w:cs="Times New Roman"/>
      <w:sz w:val="24"/>
      <w:szCs w:val="24"/>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Date"/>
    <w:basedOn w:val="1"/>
    <w:next w:val="1"/>
    <w:link w:val="25"/>
    <w:qFormat/>
    <w:uiPriority w:val="0"/>
    <w:pPr>
      <w:ind w:left="100" w:leftChars="2500"/>
    </w:pPr>
  </w:style>
  <w:style w:type="paragraph" w:styleId="7">
    <w:name w:val="Balloon Text"/>
    <w:basedOn w:val="1"/>
    <w:link w:val="28"/>
    <w:qFormat/>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99"/>
  </w:style>
  <w:style w:type="table" w:styleId="12">
    <w:name w:val="Table Grid"/>
    <w:basedOn w:val="11"/>
    <w:qFormat/>
    <w:uiPriority w:val="0"/>
    <w:rPr>
      <w:rFonts w:hint="eastAsia"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14">
    <w:name w:val="Strong"/>
    <w:basedOn w:val="13"/>
    <w:qFormat/>
    <w:uiPriority w:val="22"/>
    <w:rPr>
      <w:b/>
      <w:bCs/>
    </w:rPr>
  </w:style>
  <w:style w:type="character" w:styleId="15">
    <w:name w:val="Emphasis"/>
    <w:basedOn w:val="13"/>
    <w:qFormat/>
    <w:uiPriority w:val="0"/>
    <w:rPr>
      <w:i/>
    </w:rPr>
  </w:style>
  <w:style w:type="character" w:styleId="16">
    <w:name w:val="Hyperlink"/>
    <w:basedOn w:val="13"/>
    <w:unhideWhenUsed/>
    <w:qFormat/>
    <w:uiPriority w:val="0"/>
    <w:rPr>
      <w:color w:val="0563C1" w:themeColor="hyperlink"/>
      <w:u w:val="single"/>
    </w:rPr>
  </w:style>
  <w:style w:type="character" w:styleId="17">
    <w:name w:val="footnote reference"/>
    <w:semiHidden/>
    <w:qFormat/>
    <w:uiPriority w:val="0"/>
    <w:rPr>
      <w:vertAlign w:val="superscript"/>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二级无"/>
    <w:basedOn w:val="20"/>
    <w:qFormat/>
    <w:uiPriority w:val="0"/>
    <w:pPr>
      <w:spacing w:beforeLines="0" w:afterLines="0"/>
    </w:pPr>
    <w:rPr>
      <w:rFonts w:ascii="宋体" w:eastAsia="宋体"/>
    </w:rPr>
  </w:style>
  <w:style w:type="paragraph" w:customStyle="1" w:styleId="20">
    <w:name w:val="二级条标题"/>
    <w:basedOn w:val="21"/>
    <w:next w:val="18"/>
    <w:qFormat/>
    <w:uiPriority w:val="0"/>
    <w:pPr>
      <w:numPr>
        <w:ilvl w:val="2"/>
      </w:numPr>
      <w:spacing w:before="50" w:after="50"/>
      <w:outlineLvl w:val="3"/>
    </w:pPr>
  </w:style>
  <w:style w:type="paragraph" w:customStyle="1" w:styleId="21">
    <w:name w:val="一级条标题"/>
    <w:next w:val="1"/>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2">
    <w:name w:val="一级无"/>
    <w:basedOn w:val="21"/>
    <w:qFormat/>
    <w:uiPriority w:val="0"/>
    <w:pPr>
      <w:spacing w:beforeLines="0" w:afterLines="0"/>
    </w:pPr>
    <w:rPr>
      <w:rFonts w:ascii="宋体" w:eastAsia="宋体"/>
    </w:rPr>
  </w:style>
  <w:style w:type="character" w:customStyle="1" w:styleId="23">
    <w:name w:val="段 Char"/>
    <w:basedOn w:val="13"/>
    <w:qFormat/>
    <w:uiPriority w:val="0"/>
    <w:rPr>
      <w:rFonts w:hint="eastAsia" w:ascii="宋体" w:hAnsi="宋体" w:eastAsia="宋体" w:cs="宋体"/>
      <w:sz w:val="21"/>
    </w:rPr>
  </w:style>
  <w:style w:type="paragraph" w:customStyle="1" w:styleId="24">
    <w:name w:val="字母编号列项（一级）"/>
    <w:basedOn w:val="1"/>
    <w:qFormat/>
    <w:uiPriority w:val="0"/>
    <w:pPr>
      <w:widowControl/>
      <w:numPr>
        <w:ilvl w:val="0"/>
        <w:numId w:val="2"/>
      </w:numPr>
      <w:jc w:val="both"/>
    </w:pPr>
    <w:rPr>
      <w:rFonts w:hint="eastAsia" w:ascii="宋体"/>
      <w:sz w:val="21"/>
      <w:szCs w:val="20"/>
      <w:lang w:eastAsia="zh-CN"/>
    </w:rPr>
  </w:style>
  <w:style w:type="character" w:customStyle="1" w:styleId="25">
    <w:name w:val="日期 字符"/>
    <w:basedOn w:val="13"/>
    <w:link w:val="6"/>
    <w:qFormat/>
    <w:uiPriority w:val="0"/>
    <w:rPr>
      <w:sz w:val="24"/>
      <w:szCs w:val="24"/>
      <w:lang w:eastAsia="en-US"/>
    </w:rPr>
  </w:style>
  <w:style w:type="paragraph" w:customStyle="1" w:styleId="26">
    <w:name w:val="注："/>
    <w:next w:val="18"/>
    <w:qFormat/>
    <w:uiPriority w:val="0"/>
    <w:pPr>
      <w:widowControl w:val="0"/>
      <w:numPr>
        <w:ilvl w:val="0"/>
        <w:numId w:val="3"/>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7">
    <w:name w:val="注×："/>
    <w:qFormat/>
    <w:uiPriority w:val="0"/>
    <w:pPr>
      <w:widowControl w:val="0"/>
      <w:autoSpaceDE w:val="0"/>
      <w:autoSpaceDN w:val="0"/>
      <w:jc w:val="both"/>
    </w:pPr>
    <w:rPr>
      <w:rFonts w:ascii="宋体" w:hAnsi="Times New Roman" w:eastAsia="宋体" w:cs="Times New Roman"/>
      <w:sz w:val="18"/>
      <w:szCs w:val="18"/>
      <w:lang w:val="en-US" w:eastAsia="zh-CN" w:bidi="ar-SA"/>
    </w:rPr>
  </w:style>
  <w:style w:type="character" w:customStyle="1" w:styleId="28">
    <w:name w:val="批注框文本 字符"/>
    <w:basedOn w:val="13"/>
    <w:link w:val="7"/>
    <w:qFormat/>
    <w:uiPriority w:val="0"/>
    <w:rPr>
      <w:sz w:val="18"/>
      <w:szCs w:val="18"/>
      <w:lang w:eastAsia="en-US"/>
    </w:rPr>
  </w:style>
  <w:style w:type="paragraph" w:customStyle="1" w:styleId="29">
    <w:name w:val="章标题"/>
    <w:next w:val="18"/>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三级条标题"/>
    <w:basedOn w:val="20"/>
    <w:next w:val="18"/>
    <w:qFormat/>
    <w:uiPriority w:val="0"/>
    <w:pPr>
      <w:numPr>
        <w:ilvl w:val="0"/>
        <w:numId w:val="0"/>
      </w:numPr>
      <w:outlineLvl w:val="4"/>
    </w:pPr>
  </w:style>
  <w:style w:type="paragraph" w:customStyle="1" w:styleId="31">
    <w:name w:val="四级条标题"/>
    <w:basedOn w:val="30"/>
    <w:next w:val="18"/>
    <w:qFormat/>
    <w:uiPriority w:val="0"/>
    <w:pPr>
      <w:outlineLvl w:val="5"/>
    </w:pPr>
  </w:style>
  <w:style w:type="paragraph" w:customStyle="1" w:styleId="32">
    <w:name w:val="五级条标题"/>
    <w:basedOn w:val="31"/>
    <w:next w:val="18"/>
    <w:qFormat/>
    <w:uiPriority w:val="0"/>
    <w:pPr>
      <w:outlineLvl w:val="6"/>
    </w:pPr>
  </w:style>
  <w:style w:type="paragraph" w:styleId="33">
    <w:name w:val="List Paragraph"/>
    <w:basedOn w:val="1"/>
    <w:unhideWhenUsed/>
    <w:qFormat/>
    <w:uiPriority w:val="34"/>
    <w:pPr>
      <w:ind w:firstLine="420" w:firstLineChars="200"/>
    </w:pPr>
  </w:style>
  <w:style w:type="paragraph" w:customStyle="1" w:styleId="34">
    <w:name w:val="正文表标题"/>
    <w:next w:val="18"/>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35">
    <w:name w:val="正文图标题"/>
    <w:next w:val="18"/>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6">
    <w:name w:val="其他发布日期"/>
    <w:basedOn w:val="1"/>
    <w:qFormat/>
    <w:uiPriority w:val="0"/>
    <w:pPr>
      <w:framePr w:w="3997" w:h="471" w:hRule="exact" w:vSpace="181" w:wrap="around" w:vAnchor="page" w:hAnchor="page" w:x="1419" w:y="14097" w:anchorLock="1"/>
      <w:widowControl/>
      <w:numPr>
        <w:ilvl w:val="0"/>
        <w:numId w:val="5"/>
      </w:numPr>
      <w:autoSpaceDE/>
      <w:autoSpaceDN/>
    </w:pPr>
    <w:rPr>
      <w:rFonts w:eastAsia="黑体"/>
      <w:sz w:val="28"/>
      <w:szCs w:val="20"/>
      <w:lang w:eastAsia="zh-CN"/>
    </w:rPr>
  </w:style>
  <w:style w:type="character" w:customStyle="1" w:styleId="37">
    <w:name w:val="未处理的提及1"/>
    <w:basedOn w:val="13"/>
    <w:semiHidden/>
    <w:unhideWhenUsed/>
    <w:qFormat/>
    <w:uiPriority w:val="99"/>
    <w:rPr>
      <w:color w:val="605E5C"/>
      <w:shd w:val="clear" w:color="auto" w:fill="E1DFDD"/>
    </w:rPr>
  </w:style>
  <w:style w:type="character" w:customStyle="1" w:styleId="38">
    <w:name w:val="bjh-p"/>
    <w:basedOn w:val="13"/>
    <w:qFormat/>
    <w:uiPriority w:val="0"/>
  </w:style>
  <w:style w:type="character" w:customStyle="1" w:styleId="39">
    <w:name w:val="Unresolved Mention"/>
    <w:basedOn w:val="13"/>
    <w:semiHidden/>
    <w:unhideWhenUsed/>
    <w:qFormat/>
    <w:uiPriority w:val="99"/>
    <w:rPr>
      <w:color w:val="605E5C"/>
      <w:shd w:val="clear" w:color="auto" w:fill="E1DFDD"/>
    </w:rPr>
  </w:style>
  <w:style w:type="paragraph" w:customStyle="1" w:styleId="40">
    <w:name w:val="标准文件_段"/>
    <w:qFormat/>
    <w:uiPriority w:val="0"/>
    <w:pPr>
      <w:ind w:firstLine="198" w:firstLineChars="200"/>
      <w:jc w:val="both"/>
    </w:pPr>
    <w:rPr>
      <w:rFonts w:ascii="宋体" w:hAnsi="Times New Roman" w:eastAsia="宋体" w:cstheme="minorBidi"/>
      <w:sz w:val="21"/>
      <w:lang w:val="en-US" w:eastAsia="zh-CN" w:bidi="ar-SA"/>
    </w:rPr>
  </w:style>
  <w:style w:type="paragraph" w:customStyle="1" w:styleId="41">
    <w:name w:val="标准文件_二级无标题"/>
    <w:basedOn w:val="42"/>
    <w:qFormat/>
    <w:uiPriority w:val="0"/>
    <w:pPr>
      <w:spacing w:beforeLines="0" w:afterLines="0"/>
      <w:outlineLvl w:val="9"/>
    </w:pPr>
    <w:rPr>
      <w:rFonts w:ascii="宋体" w:hAnsi="宋体" w:eastAsia="宋体"/>
      <w:kern w:val="2"/>
      <w:szCs w:val="22"/>
    </w:rPr>
  </w:style>
  <w:style w:type="paragraph" w:customStyle="1" w:styleId="42">
    <w:name w:val="标准文件_二级条标题"/>
    <w:next w:val="40"/>
    <w:qFormat/>
    <w:uiPriority w:val="0"/>
    <w:pPr>
      <w:numPr>
        <w:ilvl w:val="2"/>
        <w:numId w:val="6"/>
      </w:numPr>
      <w:spacing w:beforeLines="50" w:afterLines="50"/>
      <w:jc w:val="both"/>
      <w:outlineLvl w:val="2"/>
    </w:pPr>
    <w:rPr>
      <w:rFonts w:ascii="黑体" w:hAnsi="黑体" w:eastAsia="黑体" w:cstheme="minorBidi"/>
      <w:sz w:val="21"/>
      <w:lang w:val="en-US" w:eastAsia="zh-CN" w:bidi="ar-SA"/>
    </w:rPr>
  </w:style>
  <w:style w:type="paragraph" w:customStyle="1" w:styleId="43">
    <w:name w:val="标准文件_一级条标题"/>
    <w:basedOn w:val="44"/>
    <w:next w:val="40"/>
    <w:qFormat/>
    <w:uiPriority w:val="0"/>
    <w:pPr>
      <w:numPr>
        <w:ilvl w:val="1"/>
      </w:numPr>
      <w:spacing w:beforeLines="50" w:afterLines="50"/>
      <w:ind w:left="0"/>
      <w:outlineLvl w:val="1"/>
    </w:pPr>
  </w:style>
  <w:style w:type="paragraph" w:customStyle="1" w:styleId="44">
    <w:name w:val="标准文件_章标题"/>
    <w:next w:val="40"/>
    <w:qFormat/>
    <w:uiPriority w:val="0"/>
    <w:pPr>
      <w:numPr>
        <w:ilvl w:val="0"/>
        <w:numId w:val="6"/>
      </w:numPr>
      <w:spacing w:beforeLines="100" w:afterLines="100"/>
      <w:jc w:val="both"/>
      <w:outlineLvl w:val="0"/>
    </w:pPr>
    <w:rPr>
      <w:rFonts w:ascii="黑体" w:hAnsi="Times New Roman" w:eastAsia="黑体" w:cstheme="minorBidi"/>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市质量技术监督局</Company>
  <Pages>13</Pages>
  <Words>944</Words>
  <Characters>5386</Characters>
  <Lines>44</Lines>
  <Paragraphs>12</Paragraphs>
  <TotalTime>13</TotalTime>
  <ScaleCrop>false</ScaleCrop>
  <LinksUpToDate>false</LinksUpToDate>
  <CharactersWithSpaces>6318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2021-12-14T09:22:00Z</dcterms:created>
  <dc:creator>Jeff-Z</dc:creator>
  <cp:lastModifiedBy>冬雪</cp:lastModifiedBy>
  <cp:lastPrinted>2024-04-25T10:29:00Z</cp:lastPrinted>
  <dcterms:modified xsi:type="dcterms:W3CDTF">2024-08-30T06:25:53Z</dcterms:modified>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58E2C60B6A4440A4911CC6E76CA0E142</vt:lpwstr>
  </property>
</Properties>
</file>