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63" w:beforeLines="50" w:line="480" w:lineRule="auto"/>
        <w:jc w:val="center"/>
        <w:rPr>
          <w:rFonts w:ascii="黑体" w:hAnsi="宋体" w:eastAsia="黑体" w:cs="黑体"/>
          <w:sz w:val="36"/>
          <w:szCs w:val="36"/>
          <w:lang w:eastAsia="zh-CN"/>
        </w:rPr>
      </w:pPr>
      <w:r>
        <w:rPr>
          <w:rFonts w:hint="eastAsia" w:ascii="黑体" w:hAnsi="宋体" w:eastAsia="黑体" w:cs="黑体"/>
          <w:sz w:val="36"/>
          <w:szCs w:val="36"/>
          <w:lang w:eastAsia="zh-CN"/>
        </w:rPr>
        <w:t>佛山市佛山标准和卓越绩效管理促进会</w:t>
      </w:r>
    </w:p>
    <w:p>
      <w:pPr>
        <w:widowControl/>
        <w:spacing w:before="163" w:beforeLines="50" w:line="480" w:lineRule="auto"/>
        <w:jc w:val="center"/>
        <w:rPr>
          <w:rFonts w:ascii="黑体" w:hAnsi="宋体" w:eastAsia="黑体" w:cs="黑体"/>
          <w:sz w:val="36"/>
          <w:szCs w:val="36"/>
          <w:lang w:eastAsia="zh-CN"/>
        </w:rPr>
      </w:pPr>
      <w:r>
        <w:rPr>
          <w:rFonts w:hint="eastAsia" w:ascii="黑体" w:hAnsi="宋体" w:eastAsia="黑体" w:cs="黑体"/>
          <w:sz w:val="36"/>
          <w:szCs w:val="36"/>
          <w:lang w:eastAsia="zh-CN"/>
        </w:rPr>
        <w:t>《佛山标准</w:t>
      </w:r>
      <w:r>
        <w:rPr>
          <w:rFonts w:hint="eastAsia" w:ascii="黑体" w:hAnsi="宋体" w:eastAsia="黑体" w:cs="黑体"/>
          <w:sz w:val="36"/>
          <w:szCs w:val="36"/>
          <w:lang w:val="en-US" w:eastAsia="zh-CN"/>
        </w:rPr>
        <w:t xml:space="preserve"> </w:t>
      </w:r>
      <w:r>
        <w:rPr>
          <w:rFonts w:hint="eastAsia" w:ascii="黑体" w:hAnsi="宋体" w:eastAsia="黑体" w:cs="黑体"/>
          <w:sz w:val="36"/>
          <w:szCs w:val="36"/>
          <w:lang w:eastAsia="zh-CN"/>
        </w:rPr>
        <w:t>轮滑鞋》团体标准编制说明</w:t>
      </w:r>
    </w:p>
    <w:p>
      <w:pPr>
        <w:widowControl/>
        <w:spacing w:line="720" w:lineRule="auto"/>
        <w:rPr>
          <w:sz w:val="28"/>
          <w:szCs w:val="28"/>
          <w:lang w:eastAsia="zh-CN"/>
        </w:rPr>
      </w:pPr>
      <w:r>
        <w:rPr>
          <w:rFonts w:ascii="黑体" w:hAnsi="宋体" w:eastAsia="黑体" w:cs="黑体"/>
          <w:sz w:val="28"/>
          <w:szCs w:val="28"/>
          <w:lang w:eastAsia="zh-CN"/>
        </w:rPr>
        <w:t>1 项目背景</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1.1  产业背景</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轮滑鞋作为一种流行的休闲运动装备，市场需求持续增长。随着人们对健康生活方式的重视和休闲娱乐活动的增加，轮滑鞋市场已经成为一个具有巨大发展潜力的行业。</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首先市场规模会持续增大。随着人们对健康生活方式和休闲娱乐活动的重视，轮滑鞋市场规模不断扩大。根据市场调研数据显示，全球轮滑鞋市场规模在过去几年内保持稳定增长，预计未来几年将继续增长。特别是在一些发展中国家和地区，轮滑鞋市场的增长速度更是惊人。其次高性能和舒适性是增长趋势。随着科技的不断进步和轮滑鞋设计的不断创新，轮滑鞋的性能和舒适度得到了大幅提升。同时，轮滑运动的普及也推动了轮滑鞋市场的增长。预计未来几年，轮滑鞋市场将呈现出更加快速的增长趋势。再者，突出品牌优势竞争格局。轮滑鞋市场竞争格局相对激烈，市场上存在着众多品牌和厂家。一些知名运动品牌如Nike、Adidas等都推出了自己的轮滑鞋产品，而一些专业的轮滑鞋品牌也在市场上占据一席之地。在竞争激烈的市场环境下，企业需要不断提升产品品质和服务水平，以赢得消费者的青睐。最后，年轻化和多样化消费群体。轮滑鞋的消费群体主要包括青少年、年轻人和一些成年人。随着年轻人对休闲运动的热爱和对健康生活方式的追求，轮滑鞋市场的消费群体呈现出年轻化和多样化的趋势。同时，一些中老年人也开始关注轮滑运动，为轮滑鞋市场的增长提供了新的机遇。</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因而，轮滑鞋市场具有巨大的发展潜力和市场前景。随着人们对健康生活方式和休闲娱乐活动的重视，轮滑鞋市场将继续保持稳定增长。同时，企业需要不断提升产品品质和服务水平，抓住消费者需求的变化，以赢得市场竞争优势。</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虽然</w:t>
      </w:r>
      <w:r>
        <w:rPr>
          <w:rFonts w:hint="eastAsia" w:ascii="仿宋" w:hAnsi="仿宋" w:eastAsia="仿宋" w:cs="仿宋"/>
          <w:sz w:val="28"/>
          <w:szCs w:val="28"/>
          <w:lang w:eastAsia="zh-CN"/>
        </w:rPr>
        <w:t>我国的轮滑鞋产品从产品结构、设计、选材、产品质量、品牌建设等方面都有了长足的发展和提高。但由于全国轮滑鞋生产企业众多，生产水平参差不齐，也不排队极少数轮滑鞋生产企业了为眼前利益，单纯追求利润而不顾产品质量，使部分企业的轮滑鞋产品存在着功能结构不合理、安全可靠性差等质量问，可导致消费者在使用时出现鞋体断裂、轮子脱落、制动不灵等现象，引发扭伤、擦伤和撞伤等意外伤害，让全身心享受轮滑的人们防不胜防。</w:t>
      </w:r>
    </w:p>
    <w:p>
      <w:pPr>
        <w:widowControl/>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佛山市轮滑鞋企业较多，质量也不尽相同，在国内外轮滑鞋市场上占据了一定地位。但在2024年，由CN10排排榜技术研究部门和CNPP品牌数据研究部门通过资料收集整理并基于大数据统计、云计算、人工智能、投票点赞以及根据市场和参数条件变化专业测评而得出的非官方十大品牌轮滑鞋为美洲狮、米高、</w:t>
      </w:r>
      <w:r>
        <w:rPr>
          <w:rFonts w:hint="default" w:ascii="仿宋" w:hAnsi="仿宋" w:eastAsia="仿宋" w:cs="仿宋"/>
          <w:sz w:val="28"/>
          <w:szCs w:val="28"/>
          <w:lang w:val="en-US" w:eastAsia="zh-CN"/>
        </w:rPr>
        <w:t>m-cro</w:t>
      </w:r>
      <w:r>
        <w:rPr>
          <w:rFonts w:hint="eastAsia" w:ascii="仿宋" w:hAnsi="仿宋" w:eastAsia="仿宋" w:cs="仿宋"/>
          <w:sz w:val="28"/>
          <w:szCs w:val="28"/>
          <w:lang w:val="en-US" w:eastAsia="zh-CN"/>
        </w:rPr>
        <w:t>、罗勒布雷德、宝狮莱、麦斯卡、迪卡侬、费斯、金锋等，主要为江浙、广州的轮滑鞋品牌，几乎没有佛山品牌。虽然这只是非官方的品牌评选结果，但也有一定的消费群体基础，因而可以看出佛山品牌轮滑鞋需要加大力度进行市场推广，让佛山轮滑鞋品牌深入人心，从而促进佛山轮滑鞋产业的发展。而佛山标准产品-轮滑鞋的推出，将会极大推进佛山轮滑鞋品牌建设提高到一个新层次和阶段，从而促进佛山轮滑鞋产业的高质量可持续发展。</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2</w:t>
      </w:r>
      <w:r>
        <w:rPr>
          <w:rFonts w:hint="eastAsia" w:ascii="黑体" w:hAnsi="宋体" w:eastAsia="黑体" w:cs="黑体"/>
          <w:sz w:val="28"/>
          <w:szCs w:val="28"/>
          <w:lang w:eastAsia="zh-CN"/>
        </w:rPr>
        <w:t xml:space="preserve">  提升方向</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通过打造佛山标准，树立优质区域品牌形象，有助于进一步做大做强产业。进一步提高轮滑鞋的产品质量，引导行业有序、健康发展，树立和提升区域品牌形象。团体标准的提升方向具体如下： </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满足用户需求。随着消费者对轮滑鞋质量要求的不断提高，也要求轮滑鞋的产品品质的提高，用户不仅重视轮滑鞋的基础功能，还更关注轮滑鞋的使用性能的舒适性和安全性，本标准编制过程充分考虑了用户的需求及提出的意见和建议，在轮滑鞋质量指标上进行了提升和增加。</w:t>
      </w:r>
    </w:p>
    <w:p>
      <w:pPr>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符合政策要求。当前政策要求消费品具有性能舒适性和安全性，确保产品的使用安全，同时适应市场发展需要，产品应具有绿色环保性，并促进产品的更新换代，以促进产业的高质量发展，提升新质生产力，提高人们对日益增长的物质需要，从而提高人们的生活质量和幸福感，创造和谐社会作贡献。在本标准中对</w:t>
      </w:r>
      <w:r>
        <w:rPr>
          <w:rFonts w:hint="eastAsia" w:ascii="仿宋" w:hAnsi="仿宋" w:eastAsia="仿宋" w:cs="仿宋"/>
          <w:sz w:val="28"/>
          <w:szCs w:val="28"/>
          <w:lang w:val="en-US" w:eastAsia="zh-CN"/>
        </w:rPr>
        <w:t>轮子磨损率、连接牢固性能、轮架可靠性能、轮子摩擦系数、耐久性能、制动器可靠性能等指标</w:t>
      </w:r>
      <w:r>
        <w:rPr>
          <w:rFonts w:hint="eastAsia" w:ascii="仿宋" w:hAnsi="仿宋" w:eastAsia="仿宋" w:cs="仿宋"/>
          <w:sz w:val="28"/>
          <w:szCs w:val="28"/>
          <w:lang w:eastAsia="zh-CN"/>
        </w:rPr>
        <w:t>进行了提升，有利于提高了产品使用舒适性、安全性和耐用性，提高产品使用周期，减少材料总体使用，这也体现了产品的绿色环保性。</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适应产品发展需要</w:t>
      </w:r>
      <w:r>
        <w:rPr>
          <w:rFonts w:ascii="仿宋" w:hAnsi="仿宋" w:eastAsia="仿宋" w:cs="仿宋"/>
          <w:sz w:val="28"/>
          <w:szCs w:val="28"/>
          <w:lang w:eastAsia="zh-CN"/>
        </w:rPr>
        <w:t>。</w:t>
      </w:r>
      <w:r>
        <w:rPr>
          <w:rFonts w:hint="eastAsia" w:ascii="仿宋" w:hAnsi="仿宋" w:eastAsia="仿宋" w:cs="仿宋"/>
          <w:sz w:val="28"/>
          <w:szCs w:val="28"/>
          <w:lang w:eastAsia="zh-CN"/>
        </w:rPr>
        <w:t>轮滑鞋产品经过几十年的发展，目前已是处于非常成熟发展阶段，产品技术稳定，但竞争激烈。为保证佛山地区轮滑鞋的竞争优势，更好地扩大影响力，抢占国内外市场份额，需要打造更高水平的标准，比现有国家、行业标准的要求更高，佛山的轮滑鞋做成高质量、名优品牌产品市场，使佛山轮滑鞋成为佛山产业发展名片。</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3</w:t>
      </w:r>
      <w:r>
        <w:rPr>
          <w:rFonts w:hint="eastAsia" w:ascii="黑体" w:hAnsi="宋体" w:eastAsia="黑体" w:cs="黑体"/>
          <w:sz w:val="28"/>
          <w:szCs w:val="28"/>
          <w:lang w:eastAsia="zh-CN"/>
        </w:rPr>
        <w:t xml:space="preserve">  项目意义</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为更好地发展佛山市重点产业、优势产品，本标准根据佛山标准要求，定位于“国内领先、国际先进”的水平，充分考虑行业发展情况，使标准编制更趋于合理、科学、先进。满足当前客户对轮滑鞋的要求，提高产品国内外场竞争力，对行业健康、快速发展有促进和引领作用。执行本标准有助于提升产品质量水平，扩大品牌影响力，提高企业竞争力，带动和引领佛山市制造业向高水平领域发展，以实现我市产品质量水平明显提升，推动佛山品牌、佛山产品更好地走出去，并在市场上引领发展。</w:t>
      </w:r>
    </w:p>
    <w:p>
      <w:pPr>
        <w:widowControl/>
        <w:spacing w:line="720" w:lineRule="auto"/>
        <w:rPr>
          <w:sz w:val="28"/>
          <w:szCs w:val="28"/>
          <w:lang w:eastAsia="zh-CN"/>
        </w:rPr>
      </w:pPr>
      <w:r>
        <w:rPr>
          <w:rFonts w:hint="eastAsia" w:ascii="黑体" w:hAnsi="宋体" w:eastAsia="黑体" w:cs="黑体"/>
          <w:sz w:val="28"/>
          <w:szCs w:val="28"/>
          <w:lang w:eastAsia="zh-CN"/>
        </w:rPr>
        <w:t>2    标准制定工作概况</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2.1  准备工作</w:t>
      </w:r>
    </w:p>
    <w:p>
      <w:pPr>
        <w:widowControl/>
        <w:spacing w:line="360" w:lineRule="auto"/>
        <w:ind w:firstLine="560" w:firstLineChars="200"/>
        <w:jc w:val="both"/>
        <w:rPr>
          <w:rFonts w:ascii="仿宋" w:hAnsi="仿宋" w:eastAsia="仿宋" w:cs="仿宋"/>
          <w:sz w:val="28"/>
          <w:szCs w:val="28"/>
          <w:lang w:eastAsia="zh-CN"/>
        </w:rPr>
      </w:pPr>
      <w:bookmarkStart w:id="0" w:name="_Hlk130890499"/>
      <w:r>
        <w:rPr>
          <w:rFonts w:hint="eastAsia" w:ascii="仿宋" w:hAnsi="仿宋" w:eastAsia="仿宋" w:cs="仿宋"/>
          <w:sz w:val="28"/>
          <w:szCs w:val="28"/>
          <w:lang w:eastAsia="zh-CN"/>
        </w:rPr>
        <w:t>根据佛山市市场监督管理局对佛山标准推进工作的计划和时间要求，佛山市顺德区质量协会（以下简称本协会）在佛山市佛山标准与卓越绩效管理促进会的指导下，到主要生产企业、检验机构、用户等企事业单位进行调研与分析，召开标准编制会议，成立了标准工作组。</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本协会</w:t>
      </w:r>
      <w:r>
        <w:rPr>
          <w:rFonts w:ascii="仿宋" w:hAnsi="仿宋" w:eastAsia="仿宋" w:cs="仿宋"/>
          <w:sz w:val="28"/>
          <w:szCs w:val="28"/>
          <w:lang w:eastAsia="zh-CN"/>
        </w:rPr>
        <w:t>负责</w:t>
      </w:r>
      <w:r>
        <w:rPr>
          <w:rFonts w:hint="eastAsia" w:ascii="仿宋" w:hAnsi="仿宋" w:eastAsia="仿宋" w:cs="仿宋"/>
          <w:sz w:val="28"/>
          <w:szCs w:val="28"/>
          <w:lang w:eastAsia="zh-CN"/>
        </w:rPr>
        <w:t>标准制定工作，针对佛山标准产品的要求，确定标准研制对应的产品分类，根据产品技术现状和发展情况及用户痛点问题等明确关键指标，</w:t>
      </w:r>
      <w:r>
        <w:rPr>
          <w:rFonts w:ascii="仿宋" w:hAnsi="仿宋" w:eastAsia="仿宋" w:cs="仿宋"/>
          <w:sz w:val="28"/>
          <w:szCs w:val="28"/>
          <w:lang w:eastAsia="zh-CN"/>
        </w:rPr>
        <w:t>收集企业现有产品技术性能参数，查阅国内外相关产品的技术文档、标准、专利，形成相关的标准集合。对比国内外等同类产品标准的有关条款，编制标准草案，组织</w:t>
      </w:r>
      <w:r>
        <w:rPr>
          <w:rFonts w:hint="eastAsia" w:ascii="仿宋" w:hAnsi="仿宋" w:eastAsia="仿宋" w:cs="仿宋"/>
          <w:sz w:val="28"/>
          <w:szCs w:val="28"/>
          <w:lang w:eastAsia="zh-CN"/>
        </w:rPr>
        <w:t>工作人员到企业现场核实验证指标，策划标准研讨、公开</w:t>
      </w:r>
      <w:r>
        <w:rPr>
          <w:rFonts w:ascii="仿宋" w:hAnsi="仿宋" w:eastAsia="仿宋" w:cs="仿宋"/>
          <w:sz w:val="28"/>
          <w:szCs w:val="28"/>
          <w:lang w:eastAsia="zh-CN"/>
        </w:rPr>
        <w:t>征求标准意见等</w:t>
      </w:r>
      <w:r>
        <w:rPr>
          <w:rFonts w:hint="eastAsia" w:ascii="仿宋" w:hAnsi="仿宋" w:eastAsia="仿宋" w:cs="仿宋"/>
          <w:sz w:val="28"/>
          <w:szCs w:val="28"/>
          <w:lang w:eastAsia="zh-CN"/>
        </w:rPr>
        <w:t>前期准备工作。并根据相关工作内容安排了工作计划，大致内容如下：</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1）</w:t>
      </w:r>
      <w:r>
        <w:rPr>
          <w:rFonts w:ascii="仿宋" w:hAnsi="仿宋" w:eastAsia="仿宋" w:cs="仿宋"/>
          <w:sz w:val="28"/>
          <w:szCs w:val="28"/>
          <w:lang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月调研与前期准备阶段：完成行业调研和相关标准、用户痛点问题的收集整理，并组织到企业进行现场调研和分析；</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2）</w:t>
      </w:r>
      <w:r>
        <w:rPr>
          <w:rFonts w:ascii="仿宋" w:hAnsi="仿宋" w:eastAsia="仿宋" w:cs="仿宋"/>
          <w:sz w:val="28"/>
          <w:szCs w:val="28"/>
          <w:lang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-5月</w:t>
      </w:r>
      <w:r>
        <w:rPr>
          <w:rFonts w:hint="eastAsia" w:ascii="仿宋" w:hAnsi="仿宋" w:eastAsia="仿宋" w:cs="仿宋"/>
          <w:sz w:val="28"/>
          <w:szCs w:val="28"/>
          <w:lang w:eastAsia="zh-CN"/>
        </w:rPr>
        <w:t>标准起草阶段：编写标准草案（工作组讨论稿）、编写标准编制说明；</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3）202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月研讨与征求意见阶段：组织标准讨论工作群及现场沟通，并征求工作组和行业协会、专家意见，完成标准送审稿及其他评审材料；</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4）202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月评审与发布阶段：组织召开标准评审会，根据专家意见，修改完善形成标准报批稿并发布。</w:t>
      </w:r>
      <w:bookmarkEnd w:id="0"/>
    </w:p>
    <w:p>
      <w:pPr>
        <w:widowControl/>
        <w:spacing w:line="720" w:lineRule="auto"/>
        <w:rPr>
          <w:rFonts w:ascii="黑体" w:hAnsi="宋体" w:eastAsia="黑体" w:cs="黑体"/>
          <w:sz w:val="28"/>
          <w:szCs w:val="28"/>
          <w:lang w:eastAsia="zh-CN"/>
        </w:rPr>
      </w:pPr>
      <w:bookmarkStart w:id="1" w:name="_Hlk130890723"/>
      <w:r>
        <w:rPr>
          <w:rFonts w:hint="eastAsia" w:ascii="黑体" w:hAnsi="宋体" w:eastAsia="黑体" w:cs="黑体"/>
          <w:sz w:val="28"/>
          <w:szCs w:val="28"/>
          <w:lang w:eastAsia="zh-CN"/>
        </w:rPr>
        <w:t>2.2  标准草案编制</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月启动标准草案研制工作，结合前期准备工作成果，征求起草单位意见，充分考虑佛山标准的编制要求、编制理念和定位要求等，体现了标准的先进性。具体说明如下：</w:t>
      </w:r>
    </w:p>
    <w:p>
      <w:pPr>
        <w:widowControl/>
        <w:numPr>
          <w:ilvl w:val="0"/>
          <w:numId w:val="8"/>
        </w:numPr>
        <w:spacing w:line="360" w:lineRule="auto"/>
        <w:ind w:firstLine="560" w:firstLineChars="200"/>
        <w:jc w:val="both"/>
        <w:rPr>
          <w:rFonts w:ascii="仿宋" w:hAnsi="仿宋" w:eastAsia="仿宋" w:cs="仿宋"/>
          <w:sz w:val="28"/>
          <w:szCs w:val="28"/>
          <w:lang w:eastAsia="zh-CN"/>
        </w:rPr>
      </w:pPr>
      <w:bookmarkStart w:id="2" w:name="_Hlk130891623"/>
      <w:r>
        <w:rPr>
          <w:rFonts w:hint="eastAsia" w:ascii="仿宋" w:hAnsi="仿宋" w:eastAsia="仿宋" w:cs="仿宋"/>
          <w:sz w:val="28"/>
          <w:szCs w:val="28"/>
          <w:lang w:eastAsia="zh-CN"/>
        </w:rPr>
        <w:t>优化基础指标，提升关键指标</w:t>
      </w:r>
      <w:bookmarkEnd w:id="2"/>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结合相关标准及信息收集、分析、比对，主要在国家标准的基础上，对</w:t>
      </w:r>
      <w:r>
        <w:rPr>
          <w:rFonts w:hint="eastAsia" w:ascii="仿宋" w:hAnsi="仿宋" w:eastAsia="仿宋" w:cs="仿宋"/>
          <w:sz w:val="28"/>
          <w:szCs w:val="28"/>
          <w:lang w:val="en-US" w:eastAsia="zh-CN"/>
        </w:rPr>
        <w:t>轮子磨损率、连接牢固性能、轮架可靠性能、轮子摩擦系数、耐久性能、制动器可靠性能</w:t>
      </w:r>
      <w:r>
        <w:rPr>
          <w:rFonts w:hint="eastAsia" w:ascii="仿宋" w:hAnsi="仿宋" w:eastAsia="仿宋" w:cs="仿宋"/>
          <w:sz w:val="28"/>
          <w:szCs w:val="28"/>
          <w:lang w:eastAsia="zh-CN"/>
        </w:rPr>
        <w:t>等指标进行提升，主要是为进一步保证产品稳定性、可靠性和安全性。</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）新增指标</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结合消费者</w:t>
      </w:r>
      <w:r>
        <w:rPr>
          <w:rFonts w:hint="eastAsia" w:ascii="仿宋" w:hAnsi="仿宋" w:eastAsia="仿宋" w:cs="仿宋"/>
          <w:color w:val="auto"/>
          <w:sz w:val="28"/>
          <w:szCs w:val="28"/>
          <w:lang w:eastAsia="zh-CN"/>
        </w:rPr>
        <w:t>意见反馈、行业相关数据收集，在国家标准的基础上，新增了</w:t>
      </w:r>
      <w:r>
        <w:rPr>
          <w:rFonts w:hint="eastAsia" w:ascii="仿宋" w:hAnsi="仿宋" w:eastAsia="仿宋" w:cs="仿宋"/>
          <w:color w:val="auto"/>
          <w:sz w:val="28"/>
          <w:szCs w:val="28"/>
          <w:lang w:val="en-US" w:eastAsia="zh-CN"/>
        </w:rPr>
        <w:t xml:space="preserve">   原材料和零部件</w:t>
      </w:r>
      <w:r>
        <w:rPr>
          <w:rFonts w:hint="eastAsia" w:ascii="仿宋" w:hAnsi="仿宋" w:eastAsia="仿宋" w:cs="仿宋"/>
          <w:color w:val="auto"/>
          <w:sz w:val="28"/>
          <w:szCs w:val="28"/>
          <w:lang w:eastAsia="zh-CN"/>
        </w:rPr>
        <w:t>主要是</w:t>
      </w:r>
      <w:r>
        <w:rPr>
          <w:rFonts w:hint="eastAsia" w:ascii="仿宋" w:hAnsi="仿宋" w:eastAsia="仿宋" w:cs="仿宋"/>
          <w:sz w:val="28"/>
          <w:szCs w:val="28"/>
          <w:lang w:eastAsia="zh-CN"/>
        </w:rPr>
        <w:t>为进一步体现产品的性能</w:t>
      </w:r>
      <w:r>
        <w:rPr>
          <w:rFonts w:hint="eastAsia" w:ascii="仿宋" w:hAnsi="仿宋" w:eastAsia="仿宋" w:cs="仿宋"/>
          <w:sz w:val="28"/>
          <w:szCs w:val="28"/>
          <w:lang w:val="en-US" w:eastAsia="zh-CN"/>
        </w:rPr>
        <w:t>和质量</w:t>
      </w:r>
      <w:r>
        <w:rPr>
          <w:rFonts w:hint="eastAsia" w:ascii="仿宋" w:hAnsi="仿宋" w:eastAsia="仿宋" w:cs="仿宋"/>
          <w:sz w:val="28"/>
          <w:szCs w:val="28"/>
          <w:lang w:eastAsia="zh-CN"/>
        </w:rPr>
        <w:t>要求，提升产品的使用舒适性和安全性。</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3</w:t>
      </w:r>
      <w:r>
        <w:rPr>
          <w:rFonts w:hint="eastAsia" w:ascii="仿宋" w:hAnsi="仿宋" w:eastAsia="仿宋" w:cs="仿宋"/>
          <w:sz w:val="28"/>
          <w:szCs w:val="28"/>
          <w:lang w:eastAsia="zh-CN"/>
        </w:rPr>
        <w:t>）规定试验方法</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参照相关国家标准、行业标准，规定了试验方法。</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2.3  标准草案研讨</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月组织了企业代表召开了线上标准讨论会、微信群内讨论及企业现场讨论等方式，讨论主要内容如下：</w:t>
      </w:r>
    </w:p>
    <w:p>
      <w:pPr>
        <w:widowControl/>
        <w:numPr>
          <w:ilvl w:val="0"/>
          <w:numId w:val="9"/>
        </w:num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讨论了指标优化和提升的可行性</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针对标准草案中指标分类及提升哪几项关键指标等问题，企业代表一致认为可行，并逐一确认标准草案中提升的各个指标项，并根据产品的实际测试和使用情况，给出了专业性的调整建议。</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）讨论了指标新增的合理性</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针对标准草案中增加的相关指标，确认</w:t>
      </w:r>
      <w:r>
        <w:rPr>
          <w:rFonts w:hint="eastAsia" w:ascii="仿宋" w:hAnsi="仿宋" w:eastAsia="仿宋" w:cs="仿宋"/>
          <w:sz w:val="28"/>
          <w:szCs w:val="28"/>
          <w:lang w:val="en-US" w:eastAsia="zh-CN"/>
        </w:rPr>
        <w:t>主要原材料和零部件指标</w:t>
      </w:r>
      <w:r>
        <w:rPr>
          <w:rFonts w:hint="eastAsia" w:ascii="仿宋" w:hAnsi="仿宋" w:eastAsia="仿宋" w:cs="仿宋"/>
          <w:sz w:val="28"/>
          <w:szCs w:val="28"/>
          <w:lang w:eastAsia="zh-CN"/>
        </w:rPr>
        <w:t>符合产品趋势和市场导向，属合理增加项。</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3）调整了部分试验方法</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针对标准草案中的试验方法，提出了个别试验方法需要更新和调整，并对此给出了补充和修正的建议。</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2.4  征求意见情况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标准研讨会议后，对标准进行了修改，并在佛山标准公共平台及团体标准公共服务平台进行公开征求意见。</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2.5  重大分岐情况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无</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2.6  专家评审情况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于2</w:t>
      </w:r>
      <w:r>
        <w:rPr>
          <w:rFonts w:ascii="仿宋" w:hAnsi="仿宋" w:eastAsia="仿宋" w:cs="仿宋"/>
          <w:sz w:val="28"/>
          <w:szCs w:val="28"/>
          <w:lang w:eastAsia="zh-CN"/>
        </w:rPr>
        <w:t>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日，组织专家召开了标准定会，专家组听取了编制组的汇报，审阅了相关资料，对标准文本进行了认真、细致和充分的讨论。最后，专家组认为该标准达到国内先进水平，</w:t>
      </w:r>
      <w:r>
        <w:rPr>
          <w:rFonts w:ascii="仿宋" w:hAnsi="仿宋" w:eastAsia="仿宋" w:cs="仿宋"/>
          <w:sz w:val="28"/>
          <w:szCs w:val="28"/>
          <w:lang w:eastAsia="zh-CN"/>
        </w:rPr>
        <w:t>一致</w:t>
      </w:r>
      <w:r>
        <w:rPr>
          <w:rFonts w:hint="eastAsia" w:ascii="仿宋" w:hAnsi="仿宋" w:eastAsia="仿宋" w:cs="仿宋"/>
          <w:sz w:val="28"/>
          <w:szCs w:val="28"/>
          <w:lang w:eastAsia="zh-CN"/>
        </w:rPr>
        <w:t>同意标准</w:t>
      </w:r>
      <w:r>
        <w:rPr>
          <w:rFonts w:ascii="仿宋" w:hAnsi="仿宋" w:eastAsia="仿宋" w:cs="仿宋"/>
          <w:sz w:val="28"/>
          <w:szCs w:val="28"/>
          <w:lang w:eastAsia="zh-CN"/>
        </w:rPr>
        <w:t>通过</w:t>
      </w:r>
      <w:r>
        <w:rPr>
          <w:rFonts w:hint="eastAsia" w:ascii="仿宋" w:hAnsi="仿宋" w:eastAsia="仿宋" w:cs="仿宋"/>
          <w:sz w:val="28"/>
          <w:szCs w:val="28"/>
          <w:lang w:eastAsia="zh-CN"/>
        </w:rPr>
        <w:t>审定。</w:t>
      </w:r>
    </w:p>
    <w:bookmarkEnd w:id="1"/>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  标准编制原则、主要内容及确定依据</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3.1  编制原则</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标准编制遵循</w:t>
      </w:r>
      <w:r>
        <w:rPr>
          <w:rFonts w:hint="eastAsia" w:ascii="仿宋" w:hAnsi="仿宋" w:eastAsia="仿宋" w:cs="仿宋"/>
          <w:sz w:val="28"/>
          <w:szCs w:val="28"/>
          <w:lang w:eastAsia="zh-CN"/>
        </w:rPr>
        <w:t>合规性、科学性、先进性、适用性并协调一致</w:t>
      </w:r>
      <w:r>
        <w:rPr>
          <w:rFonts w:ascii="仿宋" w:hAnsi="仿宋" w:eastAsia="仿宋" w:cs="仿宋"/>
          <w:sz w:val="28"/>
          <w:szCs w:val="28"/>
          <w:lang w:eastAsia="zh-CN"/>
        </w:rPr>
        <w:t>的原则，尽可能与国际通行标准接轨，注重标准的可操作性，本标准严格按照GB/T 1.1-2020《标准化工作导则 第1部分：标准化文件的结构和起草规则》的规定进行编写和表述。</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3.2  主要参考依据</w:t>
      </w:r>
    </w:p>
    <w:p>
      <w:pPr>
        <w:pStyle w:val="13"/>
        <w:ind w:firstLine="560"/>
        <w:rPr>
          <w:rFonts w:hint="eastAsia" w:ascii="仿宋" w:hAnsi="仿宋" w:eastAsia="仿宋" w:cs="仿宋"/>
          <w:sz w:val="28"/>
          <w:szCs w:val="28"/>
        </w:rPr>
      </w:pPr>
      <w:r>
        <w:rPr>
          <w:rFonts w:hint="eastAsia" w:ascii="仿宋" w:hAnsi="仿宋" w:eastAsia="仿宋" w:cs="仿宋"/>
          <w:sz w:val="28"/>
          <w:szCs w:val="28"/>
          <w:lang w:eastAsia="zh-CN"/>
        </w:rPr>
        <w:t>本标准在依据了</w:t>
      </w:r>
      <w:r>
        <w:rPr>
          <w:rFonts w:hint="eastAsia" w:ascii="仿宋" w:hAnsi="仿宋" w:eastAsia="仿宋" w:cs="仿宋"/>
          <w:sz w:val="28"/>
          <w:szCs w:val="28"/>
        </w:rPr>
        <w:t>GB/T 20096-2021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轮滑鞋》的基础上制定，并参考了以下标准：</w:t>
      </w:r>
    </w:p>
    <w:p>
      <w:pPr>
        <w:pStyle w:val="13"/>
        <w:keepNext w:val="0"/>
        <w:keepLines w:val="0"/>
        <w:pageBreakBefore w:val="0"/>
        <w:widowControl/>
        <w:kinsoku/>
        <w:wordWrap/>
        <w:overflowPunct/>
        <w:topLinePunct w:val="0"/>
        <w:autoSpaceDE w:val="0"/>
        <w:autoSpaceDN w:val="0"/>
        <w:bidi w:val="0"/>
        <w:adjustRightInd/>
        <w:snapToGrid/>
        <w:ind w:firstLine="560"/>
        <w:textAlignment w:val="auto"/>
        <w:rPr>
          <w:rFonts w:hint="eastAsia" w:ascii="仿宋" w:hAnsi="仿宋" w:eastAsia="仿宋" w:cs="仿宋"/>
          <w:sz w:val="28"/>
          <w:szCs w:val="28"/>
        </w:rPr>
      </w:pPr>
      <w:r>
        <w:rPr>
          <w:rFonts w:hint="eastAsia" w:ascii="仿宋" w:hAnsi="仿宋" w:eastAsia="仿宋" w:cs="仿宋"/>
          <w:sz w:val="28"/>
          <w:szCs w:val="28"/>
        </w:rPr>
        <w:t>GB/T 191   包装储运图示标志</w:t>
      </w:r>
    </w:p>
    <w:p>
      <w:pPr>
        <w:pStyle w:val="13"/>
        <w:keepNext w:val="0"/>
        <w:keepLines w:val="0"/>
        <w:pageBreakBefore w:val="0"/>
        <w:widowControl/>
        <w:kinsoku/>
        <w:wordWrap/>
        <w:overflowPunct/>
        <w:topLinePunct w:val="0"/>
        <w:autoSpaceDE w:val="0"/>
        <w:autoSpaceDN w:val="0"/>
        <w:bidi w:val="0"/>
        <w:adjustRightInd/>
        <w:snapToGrid/>
        <w:ind w:firstLine="560"/>
        <w:textAlignment w:val="auto"/>
        <w:rPr>
          <w:rFonts w:hint="eastAsia" w:ascii="仿宋" w:hAnsi="仿宋" w:eastAsia="仿宋" w:cs="仿宋"/>
          <w:sz w:val="28"/>
          <w:szCs w:val="28"/>
        </w:rPr>
      </w:pPr>
      <w:r>
        <w:rPr>
          <w:rFonts w:hint="eastAsia" w:ascii="仿宋" w:hAnsi="仿宋" w:eastAsia="仿宋" w:cs="仿宋"/>
          <w:sz w:val="28"/>
          <w:szCs w:val="28"/>
        </w:rPr>
        <w:t>GB/T 2828.1  计数抽样检验程序 第1部分：按接收质量限(AQL)检索的逐批检验抽样计划</w:t>
      </w:r>
    </w:p>
    <w:p>
      <w:pPr>
        <w:pStyle w:val="13"/>
        <w:keepNext w:val="0"/>
        <w:keepLines w:val="0"/>
        <w:pageBreakBefore w:val="0"/>
        <w:widowControl/>
        <w:kinsoku/>
        <w:wordWrap/>
        <w:overflowPunct/>
        <w:topLinePunct w:val="0"/>
        <w:autoSpaceDE w:val="0"/>
        <w:autoSpaceDN w:val="0"/>
        <w:bidi w:val="0"/>
        <w:adjustRightInd/>
        <w:snapToGrid/>
        <w:ind w:firstLine="560"/>
        <w:textAlignment w:val="auto"/>
        <w:rPr>
          <w:rFonts w:hint="eastAsia" w:ascii="仿宋" w:hAnsi="仿宋" w:eastAsia="仿宋" w:cs="仿宋"/>
          <w:sz w:val="28"/>
          <w:szCs w:val="28"/>
        </w:rPr>
      </w:pPr>
      <w:r>
        <w:rPr>
          <w:rFonts w:hint="eastAsia" w:ascii="仿宋" w:hAnsi="仿宋" w:eastAsia="仿宋" w:cs="仿宋"/>
          <w:sz w:val="28"/>
          <w:szCs w:val="28"/>
        </w:rPr>
        <w:t>GB/T 2829</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周期检验计数抽样程序及表(适用于对过程稳定性的检验)</w:t>
      </w:r>
    </w:p>
    <w:p>
      <w:pPr>
        <w:pStyle w:val="13"/>
        <w:keepNext w:val="0"/>
        <w:keepLines w:val="0"/>
        <w:pageBreakBefore w:val="0"/>
        <w:widowControl/>
        <w:kinsoku/>
        <w:wordWrap/>
        <w:overflowPunct/>
        <w:topLinePunct w:val="0"/>
        <w:autoSpaceDE w:val="0"/>
        <w:autoSpaceDN w:val="0"/>
        <w:bidi w:val="0"/>
        <w:adjustRightInd/>
        <w:snapToGrid/>
        <w:ind w:firstLine="560"/>
        <w:textAlignment w:val="auto"/>
        <w:rPr>
          <w:rFonts w:hint="eastAsia" w:ascii="仿宋" w:hAnsi="仿宋" w:eastAsia="仿宋" w:cs="仿宋"/>
          <w:sz w:val="28"/>
          <w:szCs w:val="28"/>
        </w:rPr>
      </w:pPr>
      <w:r>
        <w:rPr>
          <w:rFonts w:hint="eastAsia" w:ascii="仿宋" w:hAnsi="仿宋" w:eastAsia="仿宋" w:cs="仿宋"/>
          <w:sz w:val="28"/>
          <w:szCs w:val="28"/>
        </w:rPr>
        <w:t>GB/T 2912.1  纺织品 甲醛的测定 第一部分：游离水解的甲醛（水萃取法）</w:t>
      </w:r>
    </w:p>
    <w:p>
      <w:pPr>
        <w:pStyle w:val="13"/>
        <w:keepNext w:val="0"/>
        <w:keepLines w:val="0"/>
        <w:pageBreakBefore w:val="0"/>
        <w:widowControl/>
        <w:kinsoku/>
        <w:wordWrap/>
        <w:overflowPunct/>
        <w:topLinePunct w:val="0"/>
        <w:autoSpaceDE w:val="0"/>
        <w:autoSpaceDN w:val="0"/>
        <w:bidi w:val="0"/>
        <w:adjustRightInd/>
        <w:snapToGrid/>
        <w:ind w:firstLine="560"/>
        <w:textAlignment w:val="auto"/>
        <w:rPr>
          <w:rFonts w:hint="eastAsia" w:ascii="仿宋" w:hAnsi="仿宋" w:eastAsia="仿宋" w:cs="仿宋"/>
          <w:sz w:val="28"/>
          <w:szCs w:val="28"/>
        </w:rPr>
      </w:pPr>
      <w:r>
        <w:rPr>
          <w:rFonts w:hint="eastAsia" w:ascii="仿宋" w:hAnsi="仿宋" w:eastAsia="仿宋" w:cs="仿宋"/>
          <w:sz w:val="28"/>
          <w:szCs w:val="28"/>
        </w:rPr>
        <w:t>GB/T 3293.1  鞋号</w:t>
      </w:r>
    </w:p>
    <w:p>
      <w:pPr>
        <w:pStyle w:val="13"/>
        <w:keepNext w:val="0"/>
        <w:keepLines w:val="0"/>
        <w:pageBreakBefore w:val="0"/>
        <w:widowControl/>
        <w:kinsoku/>
        <w:wordWrap/>
        <w:overflowPunct/>
        <w:topLinePunct w:val="0"/>
        <w:autoSpaceDE w:val="0"/>
        <w:autoSpaceDN w:val="0"/>
        <w:bidi w:val="0"/>
        <w:adjustRightInd/>
        <w:snapToGrid/>
        <w:ind w:firstLine="560"/>
        <w:textAlignment w:val="auto"/>
        <w:rPr>
          <w:rFonts w:hint="eastAsia" w:ascii="仿宋" w:hAnsi="仿宋" w:eastAsia="仿宋" w:cs="仿宋"/>
          <w:sz w:val="28"/>
          <w:szCs w:val="28"/>
        </w:rPr>
      </w:pPr>
      <w:r>
        <w:rPr>
          <w:rFonts w:hint="eastAsia" w:ascii="仿宋" w:hAnsi="仿宋" w:eastAsia="仿宋" w:cs="仿宋"/>
          <w:sz w:val="28"/>
          <w:szCs w:val="28"/>
        </w:rPr>
        <w:t>GB/T 17592  纺织品 禁用偶氮染料的测定</w:t>
      </w:r>
    </w:p>
    <w:p>
      <w:pPr>
        <w:pStyle w:val="13"/>
        <w:keepNext w:val="0"/>
        <w:keepLines w:val="0"/>
        <w:pageBreakBefore w:val="0"/>
        <w:widowControl/>
        <w:kinsoku/>
        <w:wordWrap/>
        <w:overflowPunct/>
        <w:topLinePunct w:val="0"/>
        <w:autoSpaceDE w:val="0"/>
        <w:autoSpaceDN w:val="0"/>
        <w:bidi w:val="0"/>
        <w:adjustRightInd/>
        <w:snapToGrid/>
        <w:ind w:firstLine="560"/>
        <w:textAlignment w:val="auto"/>
        <w:rPr>
          <w:rFonts w:hint="eastAsia" w:ascii="仿宋" w:hAnsi="仿宋" w:eastAsia="仿宋" w:cs="仿宋"/>
          <w:sz w:val="28"/>
          <w:szCs w:val="28"/>
        </w:rPr>
      </w:pPr>
      <w:r>
        <w:rPr>
          <w:rFonts w:hint="eastAsia" w:ascii="仿宋" w:hAnsi="仿宋" w:eastAsia="仿宋" w:cs="仿宋"/>
          <w:sz w:val="28"/>
          <w:szCs w:val="28"/>
        </w:rPr>
        <w:t>GB/T 19941  皮革和皮毛 化学试验 甲醛含量的测定</w:t>
      </w:r>
    </w:p>
    <w:p>
      <w:pPr>
        <w:pStyle w:val="13"/>
        <w:keepNext w:val="0"/>
        <w:keepLines w:val="0"/>
        <w:pageBreakBefore w:val="0"/>
        <w:widowControl/>
        <w:kinsoku/>
        <w:wordWrap/>
        <w:overflowPunct/>
        <w:topLinePunct w:val="0"/>
        <w:autoSpaceDE w:val="0"/>
        <w:autoSpaceDN w:val="0"/>
        <w:bidi w:val="0"/>
        <w:adjustRightInd/>
        <w:snapToGrid/>
        <w:ind w:firstLine="560"/>
        <w:textAlignment w:val="auto"/>
        <w:rPr>
          <w:rFonts w:hint="eastAsia" w:ascii="仿宋" w:hAnsi="仿宋" w:eastAsia="仿宋" w:cs="仿宋"/>
          <w:sz w:val="28"/>
          <w:szCs w:val="28"/>
        </w:rPr>
      </w:pPr>
      <w:r>
        <w:rPr>
          <w:rFonts w:hint="eastAsia" w:ascii="仿宋" w:hAnsi="仿宋" w:eastAsia="仿宋" w:cs="仿宋"/>
          <w:sz w:val="28"/>
          <w:szCs w:val="28"/>
        </w:rPr>
        <w:t>GB/T 19942   皮革和皮毛 化学试验 禁用偶氮染料的测定</w:t>
      </w:r>
    </w:p>
    <w:p>
      <w:pPr>
        <w:pStyle w:val="13"/>
        <w:keepNext w:val="0"/>
        <w:keepLines w:val="0"/>
        <w:pageBreakBefore w:val="0"/>
        <w:widowControl/>
        <w:kinsoku/>
        <w:wordWrap/>
        <w:overflowPunct/>
        <w:topLinePunct w:val="0"/>
        <w:autoSpaceDE w:val="0"/>
        <w:autoSpaceDN w:val="0"/>
        <w:bidi w:val="0"/>
        <w:adjustRightInd/>
        <w:snapToGrid/>
        <w:ind w:firstLine="560"/>
        <w:textAlignment w:val="auto"/>
        <w:rPr>
          <w:rFonts w:hint="eastAsia" w:ascii="仿宋" w:hAnsi="仿宋" w:eastAsia="仿宋" w:cs="仿宋"/>
          <w:sz w:val="28"/>
          <w:szCs w:val="28"/>
        </w:rPr>
      </w:pPr>
      <w:r>
        <w:rPr>
          <w:rFonts w:hint="eastAsia" w:ascii="仿宋" w:hAnsi="仿宋" w:eastAsia="仿宋" w:cs="仿宋"/>
          <w:sz w:val="28"/>
          <w:szCs w:val="28"/>
        </w:rPr>
        <w:t>QB/T 2882</w:t>
      </w:r>
      <w:r>
        <w:rPr>
          <w:rFonts w:hint="eastAsia" w:ascii="仿宋" w:hAnsi="仿宋" w:eastAsia="仿宋" w:cs="仿宋"/>
          <w:sz w:val="28"/>
          <w:szCs w:val="28"/>
          <w:lang w:val="en-US" w:eastAsia="zh-CN"/>
        </w:rPr>
        <w:t>-2007</w:t>
      </w:r>
      <w:r>
        <w:rPr>
          <w:rFonts w:hint="eastAsia" w:ascii="仿宋" w:hAnsi="仿宋" w:eastAsia="仿宋" w:cs="仿宋"/>
          <w:sz w:val="28"/>
          <w:szCs w:val="28"/>
        </w:rPr>
        <w:t xml:space="preserve">  鞋类帮面、衬里和内垫实验方法摩擦色牢度</w:t>
      </w:r>
    </w:p>
    <w:p>
      <w:pPr>
        <w:pStyle w:val="13"/>
        <w:keepNext w:val="0"/>
        <w:keepLines w:val="0"/>
        <w:pageBreakBefore w:val="0"/>
        <w:widowControl/>
        <w:kinsoku/>
        <w:wordWrap/>
        <w:overflowPunct/>
        <w:topLinePunct w:val="0"/>
        <w:autoSpaceDE w:val="0"/>
        <w:autoSpaceDN w:val="0"/>
        <w:bidi w:val="0"/>
        <w:adjustRightInd/>
        <w:snapToGrid/>
        <w:ind w:firstLine="560"/>
        <w:textAlignment w:val="auto"/>
        <w:rPr>
          <w:rFonts w:hint="eastAsia" w:ascii="仿宋" w:hAnsi="仿宋" w:eastAsia="仿宋" w:cs="仿宋"/>
          <w:sz w:val="28"/>
          <w:szCs w:val="28"/>
        </w:rPr>
      </w:pPr>
      <w:r>
        <w:rPr>
          <w:rFonts w:hint="eastAsia" w:ascii="仿宋" w:hAnsi="仿宋" w:eastAsia="仿宋" w:cs="仿宋"/>
          <w:sz w:val="28"/>
          <w:szCs w:val="28"/>
        </w:rPr>
        <w:t>SN/T 1877.2   塑胶原料及其制品中多环芳烃的测定方法</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  标准主要内容</w:t>
      </w:r>
    </w:p>
    <w:p>
      <w:pPr>
        <w:widowControl/>
        <w:spacing w:line="720" w:lineRule="auto"/>
        <w:rPr>
          <w:rFonts w:hint="eastAsia" w:ascii="黑体" w:hAnsi="宋体" w:eastAsia="黑体" w:cs="黑体"/>
          <w:sz w:val="28"/>
          <w:szCs w:val="28"/>
          <w:lang w:eastAsia="zh-CN"/>
        </w:rPr>
      </w:pPr>
      <w:r>
        <w:rPr>
          <w:rFonts w:hint="eastAsia" w:ascii="黑体" w:hAnsi="宋体" w:eastAsia="黑体" w:cs="黑体"/>
          <w:sz w:val="28"/>
          <w:szCs w:val="28"/>
          <w:lang w:eastAsia="zh-CN"/>
        </w:rPr>
        <w:t>4.1  范围</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w:t>
      </w:r>
      <w:r>
        <w:rPr>
          <w:rFonts w:hint="eastAsia" w:ascii="仿宋" w:hAnsi="仿宋" w:eastAsia="仿宋" w:cs="仿宋"/>
          <w:sz w:val="28"/>
          <w:szCs w:val="28"/>
          <w:lang w:val="en-US" w:eastAsia="zh-CN"/>
        </w:rPr>
        <w:t>标准</w:t>
      </w:r>
      <w:r>
        <w:rPr>
          <w:rFonts w:hint="eastAsia" w:ascii="仿宋" w:hAnsi="仿宋" w:eastAsia="仿宋" w:cs="仿宋"/>
          <w:sz w:val="28"/>
          <w:szCs w:val="28"/>
          <w:lang w:eastAsia="zh-CN"/>
        </w:rPr>
        <w:t>规定了轮滑鞋的分类</w:t>
      </w:r>
      <w:r>
        <w:rPr>
          <w:rFonts w:hint="eastAsia" w:ascii="仿宋" w:hAnsi="仿宋" w:eastAsia="仿宋" w:cs="仿宋"/>
          <w:sz w:val="28"/>
          <w:szCs w:val="28"/>
          <w:lang w:val="en-US" w:eastAsia="zh-CN"/>
        </w:rPr>
        <w:t>与结构</w:t>
      </w:r>
      <w:r>
        <w:rPr>
          <w:rFonts w:hint="eastAsia" w:ascii="仿宋" w:hAnsi="仿宋" w:eastAsia="仿宋" w:cs="仿宋"/>
          <w:sz w:val="28"/>
          <w:szCs w:val="28"/>
          <w:lang w:eastAsia="zh-CN"/>
        </w:rPr>
        <w:t>、鞋号、要求、试验方法、检验规则、标志、包装、运输、贮存和质量承诺。</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本标准适用于供体重20 kg以上和100 kg以下人群使用的轮滑鞋。</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本标准不适用于供体重未超过20 kg儿童使用的轮滑鞋。</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4.2  要求</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本标准包括了三部分，第一部分是基础性指标，是产品基本属性指标；第二部分是关键性指标，是消费者和企业都关注、体现产品竞争力的技术指标，指标提升，用户满意度会明显提升；第三部分是新增指标，新增指标是在行业标准的基础上，根据目前其他相关国行标准的最新要求和体现企业技术创新，指标确立，用户满意度显著提升。</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sz w:val="28"/>
          <w:szCs w:val="28"/>
          <w:lang w:eastAsia="zh-CN"/>
        </w:rPr>
        <w:t>本标准的基础性指标，包括分类与结构、鞋号、尺寸、轮子着地性、轮子硬度、高低温性能、尖端、易操纵性能、色牢度、</w:t>
      </w:r>
      <w:r>
        <w:rPr>
          <w:rFonts w:hint="eastAsia" w:ascii="仿宋" w:hAnsi="仿宋" w:eastAsia="仿宋" w:cs="仿宋"/>
          <w:sz w:val="28"/>
          <w:szCs w:val="28"/>
          <w:lang w:val="en-US" w:eastAsia="zh-CN"/>
        </w:rPr>
        <w:t>可分解有害</w:t>
      </w:r>
      <w:r>
        <w:rPr>
          <w:rFonts w:hint="eastAsia" w:ascii="仿宋" w:hAnsi="仿宋" w:eastAsia="仿宋" w:cs="仿宋"/>
          <w:sz w:val="28"/>
          <w:szCs w:val="28"/>
          <w:lang w:eastAsia="zh-CN"/>
        </w:rPr>
        <w:t>芳香胺染料含量、游离或可部分水解的甲醛含量、多环芳烃总量和苯并【a】芘含量等指标；关键性指标，包括轮子磨损</w:t>
      </w:r>
      <w:r>
        <w:rPr>
          <w:rFonts w:hint="eastAsia" w:ascii="仿宋" w:hAnsi="仿宋" w:eastAsia="仿宋" w:cs="仿宋"/>
          <w:sz w:val="28"/>
          <w:szCs w:val="28"/>
          <w:lang w:val="en-US" w:eastAsia="zh-CN"/>
        </w:rPr>
        <w:t>率、</w:t>
      </w:r>
      <w:r>
        <w:rPr>
          <w:rFonts w:hint="eastAsia" w:ascii="仿宋" w:hAnsi="仿宋" w:eastAsia="仿宋" w:cs="仿宋"/>
          <w:sz w:val="28"/>
          <w:szCs w:val="28"/>
          <w:lang w:eastAsia="zh-CN"/>
        </w:rPr>
        <w:t>连接牢固性能、轮架可靠性能、轮子摩擦系数、耐久性能、制动器可靠性</w:t>
      </w:r>
      <w:r>
        <w:rPr>
          <w:rFonts w:hint="eastAsia" w:ascii="仿宋" w:hAnsi="仿宋" w:eastAsia="仿宋" w:cs="仿宋"/>
          <w:color w:val="auto"/>
          <w:sz w:val="28"/>
          <w:szCs w:val="28"/>
          <w:lang w:eastAsia="zh-CN"/>
        </w:rPr>
        <w:t>能等指标；新增了</w:t>
      </w:r>
      <w:r>
        <w:rPr>
          <w:rFonts w:hint="eastAsia" w:ascii="仿宋" w:hAnsi="仿宋" w:eastAsia="仿宋" w:cs="仿宋"/>
          <w:color w:val="auto"/>
          <w:sz w:val="28"/>
          <w:szCs w:val="28"/>
          <w:lang w:val="en-US" w:eastAsia="zh-CN"/>
        </w:rPr>
        <w:t>主要原材料和零部件</w:t>
      </w:r>
      <w:r>
        <w:rPr>
          <w:rFonts w:hint="eastAsia" w:ascii="仿宋" w:hAnsi="仿宋" w:eastAsia="仿宋" w:cs="仿宋"/>
          <w:color w:val="auto"/>
          <w:sz w:val="28"/>
          <w:szCs w:val="28"/>
          <w:lang w:eastAsia="zh-CN"/>
        </w:rPr>
        <w:t>指标。具体见表</w:t>
      </w:r>
      <w:r>
        <w:rPr>
          <w:rFonts w:hint="eastAsia" w:ascii="仿宋" w:hAnsi="仿宋" w:eastAsia="仿宋" w:cs="仿宋"/>
          <w:color w:val="auto"/>
          <w:sz w:val="28"/>
          <w:szCs w:val="28"/>
          <w:lang w:val="en-US" w:eastAsia="zh-CN"/>
        </w:rPr>
        <w:t>1。</w:t>
      </w:r>
    </w:p>
    <w:p>
      <w:pPr>
        <w:autoSpaceDE/>
        <w:autoSpaceDN/>
        <w:spacing w:after="120" w:line="360" w:lineRule="auto"/>
        <w:ind w:firstLine="562" w:firstLineChars="200"/>
        <w:jc w:val="center"/>
        <w:rPr>
          <w:rFonts w:ascii="仿宋" w:hAnsi="仿宋" w:eastAsia="仿宋" w:cs="仿宋"/>
          <w:b/>
          <w:bCs/>
          <w:sz w:val="28"/>
          <w:szCs w:val="28"/>
          <w:lang w:eastAsia="zh-CN"/>
        </w:rPr>
      </w:pPr>
      <w:r>
        <w:rPr>
          <w:rFonts w:hint="eastAsia" w:ascii="仿宋" w:hAnsi="仿宋" w:eastAsia="仿宋" w:cs="仿宋"/>
          <w:b/>
          <w:bCs/>
          <w:sz w:val="28"/>
          <w:szCs w:val="28"/>
          <w:lang w:eastAsia="zh-CN"/>
        </w:rPr>
        <w:t>表</w:t>
      </w:r>
      <w:r>
        <w:rPr>
          <w:rFonts w:hint="eastAsia" w:ascii="仿宋" w:hAnsi="仿宋" w:eastAsia="仿宋" w:cs="仿宋"/>
          <w:b/>
          <w:bCs/>
          <w:sz w:val="28"/>
          <w:szCs w:val="28"/>
          <w:lang w:val="en-US" w:eastAsia="zh-CN"/>
        </w:rPr>
        <w:t xml:space="preserve">1 </w:t>
      </w:r>
      <w:r>
        <w:rPr>
          <w:rFonts w:hint="eastAsia" w:ascii="仿宋" w:hAnsi="仿宋" w:eastAsia="仿宋" w:cs="仿宋"/>
          <w:b/>
          <w:bCs/>
          <w:sz w:val="28"/>
          <w:szCs w:val="28"/>
          <w:lang w:eastAsia="zh-CN"/>
        </w:rPr>
        <w:t>标准指标比对表</w:t>
      </w:r>
    </w:p>
    <w:tbl>
      <w:tblPr>
        <w:tblStyle w:val="7"/>
        <w:tblW w:w="47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88"/>
        <w:gridCol w:w="1060"/>
        <w:gridCol w:w="3083"/>
        <w:gridCol w:w="305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blHeader/>
          <w:jc w:val="center"/>
        </w:trPr>
        <w:tc>
          <w:tcPr>
            <w:tcW w:w="426" w:type="pct"/>
            <w:shd w:val="clear" w:color="auto" w:fill="auto"/>
            <w:vAlign w:val="center"/>
          </w:tcPr>
          <w:p>
            <w:pPr>
              <w:jc w:val="center"/>
              <w:rPr>
                <w:rFonts w:ascii="宋体" w:hAnsi="宋体" w:cs="宋体"/>
                <w:spacing w:val="20"/>
                <w:sz w:val="21"/>
                <w:szCs w:val="21"/>
                <w:lang w:eastAsia="zh-CN"/>
              </w:rPr>
            </w:pPr>
            <w:r>
              <w:rPr>
                <w:rFonts w:hint="eastAsia" w:ascii="宋体" w:hAnsi="宋体" w:cs="宋体"/>
                <w:spacing w:val="20"/>
                <w:sz w:val="21"/>
                <w:szCs w:val="21"/>
                <w:lang w:eastAsia="zh-CN"/>
              </w:rPr>
              <w:t>指标</w:t>
            </w:r>
          </w:p>
          <w:p>
            <w:pPr>
              <w:jc w:val="center"/>
              <w:rPr>
                <w:rFonts w:ascii="宋体" w:hAnsi="宋体" w:cs="宋体"/>
                <w:spacing w:val="20"/>
                <w:sz w:val="21"/>
                <w:szCs w:val="21"/>
                <w:lang w:eastAsia="zh-CN"/>
              </w:rPr>
            </w:pPr>
            <w:r>
              <w:rPr>
                <w:rFonts w:hint="eastAsia" w:ascii="宋体" w:hAnsi="宋体" w:cs="宋体"/>
                <w:spacing w:val="20"/>
                <w:sz w:val="21"/>
                <w:szCs w:val="21"/>
                <w:lang w:eastAsia="zh-CN"/>
              </w:rPr>
              <w:t>类型</w:t>
            </w:r>
          </w:p>
        </w:tc>
        <w:tc>
          <w:tcPr>
            <w:tcW w:w="574" w:type="pct"/>
            <w:shd w:val="clear" w:color="auto" w:fill="auto"/>
            <w:vAlign w:val="center"/>
          </w:tcPr>
          <w:p>
            <w:pPr>
              <w:jc w:val="center"/>
              <w:rPr>
                <w:rFonts w:ascii="宋体" w:hAnsi="宋体" w:cs="宋体"/>
                <w:spacing w:val="20"/>
                <w:sz w:val="21"/>
                <w:szCs w:val="21"/>
                <w:lang w:val="zh-CN"/>
              </w:rPr>
            </w:pPr>
            <w:r>
              <w:rPr>
                <w:rFonts w:hint="eastAsia" w:ascii="宋体" w:hAnsi="宋体" w:cs="宋体"/>
                <w:spacing w:val="20"/>
                <w:sz w:val="21"/>
                <w:szCs w:val="21"/>
                <w:lang w:val="zh-CN"/>
              </w:rPr>
              <w:t>指标项目</w:t>
            </w:r>
          </w:p>
        </w:tc>
        <w:tc>
          <w:tcPr>
            <w:tcW w:w="1670" w:type="pct"/>
            <w:shd w:val="clear" w:color="auto" w:fill="auto"/>
            <w:vAlign w:val="center"/>
          </w:tcPr>
          <w:p>
            <w:pPr>
              <w:jc w:val="center"/>
              <w:rPr>
                <w:rFonts w:ascii="宋体" w:hAnsi="宋体" w:cs="宋体"/>
                <w:spacing w:val="20"/>
                <w:sz w:val="21"/>
                <w:szCs w:val="21"/>
                <w:lang w:val="zh-CN" w:eastAsia="zh-CN"/>
              </w:rPr>
            </w:pPr>
            <w:r>
              <w:rPr>
                <w:rFonts w:hint="eastAsia" w:ascii="宋体" w:hAnsi="宋体" w:cs="宋体"/>
                <w:spacing w:val="20"/>
                <w:sz w:val="21"/>
                <w:szCs w:val="21"/>
                <w:lang w:eastAsia="zh-CN"/>
              </w:rPr>
              <w:t>佛山</w:t>
            </w:r>
            <w:r>
              <w:rPr>
                <w:rFonts w:hint="eastAsia" w:ascii="宋体" w:hAnsi="宋体" w:cs="宋体"/>
                <w:spacing w:val="20"/>
                <w:sz w:val="21"/>
                <w:szCs w:val="21"/>
                <w:lang w:val="zh-CN" w:eastAsia="zh-CN"/>
              </w:rPr>
              <w:t>标准</w:t>
            </w:r>
          </w:p>
          <w:p>
            <w:pPr>
              <w:jc w:val="center"/>
              <w:rPr>
                <w:rFonts w:ascii="宋体" w:hAnsi="宋体" w:cs="宋体"/>
                <w:spacing w:val="20"/>
                <w:sz w:val="21"/>
                <w:szCs w:val="21"/>
                <w:lang w:eastAsia="zh-CN"/>
              </w:rPr>
            </w:pPr>
            <w:r>
              <w:rPr>
                <w:rFonts w:hint="eastAsia" w:ascii="宋体" w:hAnsi="宋体" w:cs="宋体"/>
                <w:spacing w:val="20"/>
                <w:sz w:val="21"/>
                <w:szCs w:val="21"/>
                <w:lang w:eastAsia="zh-CN"/>
              </w:rPr>
              <w:t>T/FSS XX-202</w:t>
            </w:r>
            <w:r>
              <w:rPr>
                <w:rFonts w:ascii="宋体" w:hAnsi="宋体" w:cs="宋体"/>
                <w:spacing w:val="20"/>
                <w:sz w:val="21"/>
                <w:szCs w:val="21"/>
                <w:lang w:eastAsia="zh-CN"/>
              </w:rPr>
              <w:t>4</w:t>
            </w:r>
          </w:p>
        </w:tc>
        <w:tc>
          <w:tcPr>
            <w:tcW w:w="1657" w:type="pct"/>
            <w:vAlign w:val="center"/>
          </w:tcPr>
          <w:p>
            <w:pPr>
              <w:jc w:val="center"/>
              <w:rPr>
                <w:rFonts w:hint="eastAsia" w:ascii="宋体" w:hAnsi="宋体" w:eastAsia="宋体" w:cs="宋体"/>
                <w:spacing w:val="20"/>
                <w:sz w:val="21"/>
                <w:szCs w:val="21"/>
                <w:lang w:eastAsia="zh-CN"/>
              </w:rPr>
            </w:pPr>
            <w:r>
              <w:rPr>
                <w:rFonts w:hint="eastAsia" w:ascii="宋体" w:hAnsi="宋体" w:eastAsia="宋体" w:cs="宋体"/>
                <w:spacing w:val="20"/>
                <w:sz w:val="21"/>
                <w:szCs w:val="21"/>
                <w:lang w:eastAsia="zh-CN"/>
              </w:rPr>
              <w:t>国家标准</w:t>
            </w:r>
          </w:p>
          <w:p>
            <w:pPr>
              <w:jc w:val="center"/>
              <w:rPr>
                <w:rFonts w:ascii="宋体" w:hAnsi="宋体" w:cs="宋体"/>
                <w:spacing w:val="20"/>
                <w:sz w:val="21"/>
                <w:szCs w:val="21"/>
                <w:lang w:eastAsia="zh-CN"/>
              </w:rPr>
            </w:pPr>
            <w:r>
              <w:rPr>
                <w:rFonts w:hint="eastAsia" w:ascii="宋体" w:hAnsi="宋体" w:eastAsia="宋体" w:cs="宋体"/>
                <w:spacing w:val="20"/>
                <w:sz w:val="21"/>
                <w:szCs w:val="21"/>
                <w:lang w:eastAsia="zh-CN"/>
              </w:rPr>
              <w:t>GB/T 20096-2021</w:t>
            </w:r>
            <w:r>
              <w:rPr>
                <w:rFonts w:hint="eastAsia" w:ascii="宋体" w:hAnsi="宋体" w:cs="宋体"/>
                <w:spacing w:val="20"/>
                <w:sz w:val="21"/>
                <w:szCs w:val="21"/>
                <w:lang w:eastAsia="zh-CN"/>
              </w:rPr>
              <w:t xml:space="preserve"> </w:t>
            </w:r>
          </w:p>
        </w:tc>
        <w:tc>
          <w:tcPr>
            <w:tcW w:w="671" w:type="pct"/>
            <w:shd w:val="clear" w:color="auto" w:fill="auto"/>
            <w:vAlign w:val="center"/>
          </w:tcPr>
          <w:p>
            <w:pPr>
              <w:jc w:val="center"/>
              <w:rPr>
                <w:rFonts w:ascii="宋体" w:hAnsi="宋体" w:cs="宋体"/>
                <w:spacing w:val="20"/>
                <w:sz w:val="21"/>
                <w:szCs w:val="21"/>
                <w:lang w:val="zh-CN"/>
              </w:rPr>
            </w:pPr>
            <w:r>
              <w:rPr>
                <w:rFonts w:hint="eastAsia" w:ascii="宋体" w:hAnsi="宋体" w:cs="宋体"/>
                <w:kern w:val="2"/>
                <w:sz w:val="21"/>
                <w:szCs w:val="21"/>
                <w:lang w:eastAsia="zh-CN"/>
              </w:rPr>
              <w:t>比对情况及说明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restart"/>
            <w:shd w:val="clear" w:color="auto" w:fill="auto"/>
            <w:vAlign w:val="center"/>
          </w:tcPr>
          <w:p>
            <w:pPr>
              <w:jc w:val="center"/>
              <w:rPr>
                <w:rFonts w:ascii="宋体" w:hAnsi="宋体" w:cs="宋体"/>
                <w:spacing w:val="20"/>
                <w:sz w:val="21"/>
                <w:szCs w:val="21"/>
                <w:lang w:eastAsia="zh-CN"/>
              </w:rPr>
            </w:pPr>
            <w:r>
              <w:rPr>
                <w:rFonts w:hint="eastAsia" w:ascii="宋体" w:hAnsi="宋体" w:cs="宋体"/>
                <w:spacing w:val="20"/>
                <w:sz w:val="21"/>
                <w:szCs w:val="21"/>
                <w:lang w:eastAsia="zh-CN"/>
              </w:rPr>
              <w:t>基础</w:t>
            </w:r>
          </w:p>
          <w:p>
            <w:pPr>
              <w:jc w:val="center"/>
              <w:rPr>
                <w:rFonts w:ascii="宋体" w:hAnsi="宋体" w:cs="宋体"/>
                <w:spacing w:val="20"/>
                <w:sz w:val="21"/>
                <w:szCs w:val="21"/>
                <w:lang w:eastAsia="zh-CN"/>
              </w:rPr>
            </w:pPr>
            <w:r>
              <w:rPr>
                <w:rFonts w:hint="eastAsia" w:ascii="宋体" w:hAnsi="宋体" w:cs="宋体"/>
                <w:spacing w:val="20"/>
                <w:sz w:val="21"/>
                <w:szCs w:val="21"/>
                <w:lang w:eastAsia="zh-CN"/>
              </w:rPr>
              <w:t>指标</w:t>
            </w:r>
          </w:p>
        </w:tc>
        <w:tc>
          <w:tcPr>
            <w:tcW w:w="574" w:type="pct"/>
            <w:shd w:val="clear" w:color="auto" w:fill="auto"/>
            <w:vAlign w:val="center"/>
          </w:tcPr>
          <w:p>
            <w:pPr>
              <w:widowControl/>
              <w:autoSpaceDE/>
              <w:autoSpaceDN/>
              <w:adjustRightInd w:val="0"/>
              <w:snapToGrid w:val="0"/>
              <w:jc w:val="center"/>
              <w:rPr>
                <w:rFonts w:hint="eastAsia" w:ascii="宋体" w:hAnsi="宋体" w:cs="Times New Roman"/>
                <w:sz w:val="21"/>
                <w:szCs w:val="21"/>
                <w:lang w:val="en-US" w:eastAsia="zh-CN"/>
              </w:rPr>
            </w:pPr>
            <w:r>
              <w:rPr>
                <w:rFonts w:hint="eastAsia" w:ascii="宋体" w:hAnsi="宋体" w:cs="Times New Roman"/>
                <w:sz w:val="21"/>
                <w:szCs w:val="21"/>
                <w:lang w:val="en-US" w:eastAsia="zh-CN"/>
              </w:rPr>
              <w:t>分类与结构</w:t>
            </w:r>
          </w:p>
        </w:tc>
        <w:tc>
          <w:tcPr>
            <w:tcW w:w="1670" w:type="pct"/>
            <w:shd w:val="clear" w:color="auto" w:fill="auto"/>
            <w:vAlign w:val="center"/>
          </w:tcPr>
          <w:p>
            <w:pPr>
              <w:pStyle w:val="1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textAlignment w:val="auto"/>
              <w:outlineLvl w:val="3"/>
              <w:rPr>
                <w:rFonts w:hint="eastAsia" w:ascii="宋体" w:eastAsia="宋体"/>
                <w:szCs w:val="22"/>
              </w:rPr>
            </w:pPr>
            <w:r>
              <w:rPr>
                <w:rFonts w:hint="eastAsia" w:ascii="宋体" w:eastAsia="宋体"/>
                <w:szCs w:val="22"/>
                <w:lang w:val="en-US" w:eastAsia="zh-CN"/>
              </w:rPr>
              <w:t>1.</w:t>
            </w:r>
            <w:r>
              <w:rPr>
                <w:rFonts w:hint="eastAsia" w:ascii="宋体" w:eastAsia="宋体"/>
                <w:szCs w:val="22"/>
              </w:rPr>
              <w:t>按轮滑鞋轮子排列方式分为单排轮滑鞋和双排轮滑鞋。</w:t>
            </w:r>
          </w:p>
          <w:p>
            <w:pPr>
              <w:pStyle w:val="1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textAlignment w:val="auto"/>
              <w:outlineLvl w:val="3"/>
              <w:rPr>
                <w:rFonts w:ascii="宋体" w:eastAsia="宋体"/>
                <w:szCs w:val="22"/>
              </w:rPr>
            </w:pPr>
            <w:r>
              <w:rPr>
                <w:rFonts w:hint="eastAsia" w:ascii="宋体" w:eastAsia="宋体"/>
                <w:szCs w:val="22"/>
                <w:lang w:val="en-US" w:eastAsia="zh-CN"/>
              </w:rPr>
              <w:t>2.</w:t>
            </w:r>
            <w:r>
              <w:rPr>
                <w:rFonts w:hint="eastAsia" w:ascii="宋体" w:eastAsia="宋体"/>
                <w:szCs w:val="22"/>
              </w:rPr>
              <w:t>按鞋与轮架连接方式分为连体式轮滑鞋、可拆卸式轮滑鞋。</w:t>
            </w:r>
          </w:p>
          <w:p>
            <w:pPr>
              <w:pStyle w:val="1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textAlignment w:val="auto"/>
              <w:outlineLvl w:val="3"/>
              <w:rPr>
                <w:rFonts w:ascii="宋体" w:hAnsi="宋体"/>
                <w:sz w:val="21"/>
                <w:szCs w:val="21"/>
                <w:lang w:eastAsia="zh-CN"/>
              </w:rPr>
            </w:pPr>
            <w:r>
              <w:rPr>
                <w:rFonts w:hint="eastAsia" w:ascii="宋体" w:eastAsia="宋体"/>
                <w:szCs w:val="22"/>
                <w:lang w:val="en-US" w:eastAsia="zh-CN"/>
              </w:rPr>
              <w:t>3.</w:t>
            </w:r>
            <w:r>
              <w:rPr>
                <w:rFonts w:hint="eastAsia" w:ascii="宋体" w:eastAsia="宋体"/>
                <w:szCs w:val="22"/>
              </w:rPr>
              <w:t>按使用人群体重分为A类和B类。A类为体重20 kg以上至100 kg以下人群使用的轮滑鞋，B类为体重20 kg以上至60 kg及以下人群使用的轮滑鞋并且足部长度不超过260 mm。</w:t>
            </w:r>
          </w:p>
        </w:tc>
        <w:tc>
          <w:tcPr>
            <w:tcW w:w="1657" w:type="pct"/>
            <w:vAlign w:val="center"/>
          </w:tcPr>
          <w:p>
            <w:pPr>
              <w:adjustRightInd w:val="0"/>
              <w:snapToGrid w:val="0"/>
              <w:spacing w:line="240" w:lineRule="atLeast"/>
              <w:jc w:val="center"/>
              <w:rPr>
                <w:rFonts w:ascii="宋体" w:hAnsi="宋体"/>
                <w:sz w:val="21"/>
                <w:szCs w:val="21"/>
                <w:lang w:eastAsia="zh-CN"/>
              </w:rPr>
            </w:pPr>
            <w:r>
              <w:rPr>
                <w:rFonts w:hint="eastAsia" w:ascii="宋体" w:hAnsi="宋体" w:cs="宋体"/>
                <w:spacing w:val="20"/>
                <w:sz w:val="21"/>
                <w:szCs w:val="21"/>
                <w:lang w:eastAsia="zh-CN"/>
              </w:rPr>
              <w:t>符合标准要求</w:t>
            </w:r>
          </w:p>
        </w:tc>
        <w:tc>
          <w:tcPr>
            <w:tcW w:w="671" w:type="pct"/>
            <w:shd w:val="clear" w:color="auto" w:fill="auto"/>
            <w:vAlign w:val="center"/>
          </w:tcPr>
          <w:p>
            <w:pPr>
              <w:jc w:val="center"/>
              <w:rPr>
                <w:rFonts w:ascii="宋体" w:hAnsi="宋体"/>
                <w:sz w:val="21"/>
                <w:szCs w:val="21"/>
                <w:lang w:eastAsia="zh-CN"/>
              </w:rPr>
            </w:pPr>
            <w:r>
              <w:rPr>
                <w:rFonts w:hint="eastAsia" w:ascii="宋体" w:hAnsi="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cs="Times New Roman"/>
                <w:sz w:val="21"/>
                <w:szCs w:val="21"/>
                <w:lang w:val="en-US" w:eastAsia="zh-CN"/>
              </w:rPr>
            </w:pPr>
            <w:r>
              <w:rPr>
                <w:rFonts w:hint="eastAsia" w:ascii="宋体" w:hAnsi="宋体" w:cs="Times New Roman"/>
                <w:sz w:val="21"/>
                <w:szCs w:val="21"/>
                <w:lang w:val="en-US" w:eastAsia="zh-CN"/>
              </w:rPr>
              <w:t>鞋号</w:t>
            </w:r>
          </w:p>
        </w:tc>
        <w:tc>
          <w:tcPr>
            <w:tcW w:w="1670" w:type="pct"/>
            <w:shd w:val="clear" w:color="auto" w:fill="auto"/>
            <w:vAlign w:val="center"/>
          </w:tcPr>
          <w:p>
            <w:pPr>
              <w:pStyle w:val="1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textAlignment w:val="auto"/>
              <w:outlineLvl w:val="3"/>
              <w:rPr>
                <w:rFonts w:hint="eastAsia" w:ascii="宋体" w:eastAsia="宋体"/>
                <w:szCs w:val="22"/>
                <w:lang w:val="en-US" w:eastAsia="zh-CN"/>
              </w:rPr>
            </w:pPr>
            <w:r>
              <w:rPr>
                <w:rFonts w:hint="eastAsia" w:ascii="宋体" w:eastAsia="宋体"/>
                <w:szCs w:val="22"/>
              </w:rPr>
              <w:t>鞋号按GB/T 3293.1规定执行</w:t>
            </w:r>
          </w:p>
        </w:tc>
        <w:tc>
          <w:tcPr>
            <w:tcW w:w="1657" w:type="pct"/>
            <w:vAlign w:val="center"/>
          </w:tcPr>
          <w:p>
            <w:pPr>
              <w:adjustRightInd w:val="0"/>
              <w:snapToGrid w:val="0"/>
              <w:spacing w:line="240" w:lineRule="atLeast"/>
              <w:jc w:val="center"/>
              <w:rPr>
                <w:rFonts w:hint="eastAsia" w:ascii="宋体" w:hAnsi="宋体" w:cs="宋体"/>
                <w:spacing w:val="20"/>
                <w:sz w:val="21"/>
                <w:szCs w:val="21"/>
                <w:lang w:eastAsia="zh-CN"/>
              </w:rPr>
            </w:pPr>
            <w:r>
              <w:rPr>
                <w:rFonts w:hint="eastAsia" w:ascii="宋体" w:hAnsi="Times New Roman" w:eastAsia="宋体" w:cs="Times New Roman"/>
                <w:sz w:val="21"/>
                <w:szCs w:val="22"/>
                <w:lang w:val="en-US" w:eastAsia="zh-CN" w:bidi="ar-SA"/>
              </w:rPr>
              <w:t>鞋号按GB/T 3293.1规定执行</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cs="Times New Roman"/>
                <w:sz w:val="21"/>
                <w:szCs w:val="21"/>
                <w:lang w:val="en-US" w:eastAsia="zh-CN"/>
              </w:rPr>
            </w:pPr>
            <w:r>
              <w:rPr>
                <w:rFonts w:hint="eastAsia" w:ascii="宋体" w:hAnsi="宋体" w:cs="Times New Roman"/>
                <w:sz w:val="21"/>
                <w:szCs w:val="21"/>
                <w:lang w:val="en-US" w:eastAsia="zh-CN"/>
              </w:rPr>
              <w:t>尺寸</w:t>
            </w:r>
          </w:p>
        </w:tc>
        <w:tc>
          <w:tcPr>
            <w:tcW w:w="1670" w:type="pct"/>
            <w:shd w:val="clear" w:color="auto" w:fill="auto"/>
            <w:vAlign w:val="center"/>
          </w:tcPr>
          <w:p>
            <w:pPr>
              <w:pStyle w:val="1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textAlignment w:val="auto"/>
              <w:outlineLvl w:val="3"/>
              <w:rPr>
                <w:rFonts w:hint="eastAsia" w:ascii="宋体" w:hAnsi="Times New Roman" w:eastAsia="宋体" w:cs="Times New Roman"/>
                <w:szCs w:val="22"/>
              </w:rPr>
            </w:pPr>
            <w:r>
              <w:rPr>
                <w:rFonts w:hint="eastAsia" w:ascii="宋体" w:hAnsi="Times New Roman" w:eastAsia="宋体" w:cs="Times New Roman"/>
                <w:szCs w:val="22"/>
              </w:rPr>
              <w:t>同一双轮滑鞋相同部位对称一致；同一双轮滑鞋对称部位尺寸允差应符合表1的规定。</w:t>
            </w:r>
          </w:p>
          <w:p>
            <w:pPr>
              <w:pStyle w:val="29"/>
              <w:keepNext w:val="0"/>
              <w:keepLines w:val="0"/>
              <w:pageBreakBefore w:val="0"/>
              <w:tabs>
                <w:tab w:val="left" w:pos="360"/>
                <w:tab w:val="clear" w:pos="720"/>
              </w:tabs>
              <w:kinsoku/>
              <w:wordWrap/>
              <w:overflowPunct/>
              <w:topLinePunct w:val="0"/>
              <w:bidi w:val="0"/>
              <w:adjustRightInd/>
              <w:snapToGrid/>
              <w:spacing w:beforeLines="0" w:afterLines="0"/>
              <w:jc w:val="center"/>
              <w:textAlignment w:val="auto"/>
              <w:rPr>
                <w:rFonts w:hint="eastAsia"/>
                <w:sz w:val="18"/>
                <w:szCs w:val="18"/>
                <w:lang w:val="en-US" w:eastAsia="zh-CN"/>
              </w:rPr>
            </w:pPr>
            <w:r>
              <w:rPr>
                <w:rFonts w:hint="eastAsia" w:hAnsi="黑体" w:cs="黑体"/>
                <w:sz w:val="18"/>
                <w:szCs w:val="18"/>
                <w:lang w:eastAsia="zh-CN"/>
              </w:rPr>
              <w:t>表</w:t>
            </w:r>
            <w:r>
              <w:rPr>
                <w:rFonts w:hint="eastAsia" w:hAnsi="黑体" w:cs="黑体"/>
                <w:sz w:val="18"/>
                <w:szCs w:val="18"/>
                <w:lang w:val="en-US" w:eastAsia="zh-CN"/>
              </w:rPr>
              <w:t>1</w:t>
            </w:r>
            <w:r>
              <w:rPr>
                <w:rFonts w:hint="eastAsia" w:hAnsi="黑体" w:cs="黑体"/>
                <w:sz w:val="18"/>
                <w:szCs w:val="18"/>
              </w:rPr>
              <w:t>尺寸允差</w:t>
            </w:r>
            <w:r>
              <w:rPr>
                <w:rFonts w:hint="eastAsia"/>
                <w:sz w:val="18"/>
                <w:szCs w:val="18"/>
                <w:lang w:val="en-US" w:eastAsia="zh-CN"/>
              </w:rPr>
              <w:t xml:space="preserve">                      </w:t>
            </w:r>
          </w:p>
          <w:tbl>
            <w:tblPr>
              <w:tblStyle w:val="7"/>
              <w:tblW w:w="298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8" w:space="0"/>
                    <w:bottom w:val="single" w:color="auto" w:sz="8" w:space="0"/>
                  </w:tcBorders>
                  <w:noWrap w:val="0"/>
                  <w:vAlign w:val="top"/>
                </w:tcPr>
                <w:p>
                  <w:pPr>
                    <w:keepNext w:val="0"/>
                    <w:keepLines w:val="0"/>
                    <w:pageBreakBefore w:val="0"/>
                    <w:kinsoku/>
                    <w:wordWrap/>
                    <w:overflowPunct/>
                    <w:topLinePunct w:val="0"/>
                    <w:bidi w:val="0"/>
                    <w:adjustRightInd/>
                    <w:snapToGrid/>
                    <w:jc w:val="center"/>
                    <w:textAlignment w:val="auto"/>
                    <w:rPr>
                      <w:rFonts w:hint="eastAsia" w:ascii="宋体"/>
                      <w:sz w:val="18"/>
                      <w:szCs w:val="18"/>
                    </w:rPr>
                  </w:pPr>
                  <w:r>
                    <w:rPr>
                      <w:rFonts w:hint="eastAsia" w:ascii="宋体"/>
                      <w:sz w:val="18"/>
                      <w:szCs w:val="18"/>
                    </w:rPr>
                    <w:t>检验项目</w:t>
                  </w:r>
                </w:p>
              </w:tc>
              <w:tc>
                <w:tcPr>
                  <w:tcW w:w="1540" w:type="dxa"/>
                  <w:tcBorders>
                    <w:top w:val="single" w:color="auto" w:sz="8" w:space="0"/>
                    <w:bottom w:val="single" w:color="auto" w:sz="8" w:space="0"/>
                  </w:tcBorders>
                  <w:noWrap w:val="0"/>
                  <w:vAlign w:val="top"/>
                </w:tcPr>
                <w:p>
                  <w:pPr>
                    <w:keepNext w:val="0"/>
                    <w:keepLines w:val="0"/>
                    <w:pageBreakBefore w:val="0"/>
                    <w:kinsoku/>
                    <w:wordWrap/>
                    <w:overflowPunct/>
                    <w:topLinePunct w:val="0"/>
                    <w:bidi w:val="0"/>
                    <w:adjustRightInd/>
                    <w:snapToGrid/>
                    <w:jc w:val="center"/>
                    <w:textAlignment w:val="auto"/>
                    <w:rPr>
                      <w:rFonts w:hint="eastAsia" w:ascii="宋体" w:eastAsia="宋体"/>
                      <w:sz w:val="18"/>
                      <w:szCs w:val="18"/>
                      <w:lang w:val="en-US" w:eastAsia="zh-CN"/>
                    </w:rPr>
                  </w:pPr>
                  <w:r>
                    <w:rPr>
                      <w:rFonts w:hint="eastAsia" w:ascii="宋体"/>
                      <w:sz w:val="18"/>
                      <w:szCs w:val="18"/>
                    </w:rPr>
                    <w:t>允差</w:t>
                  </w:r>
                  <w:r>
                    <w:rPr>
                      <w:rFonts w:hint="eastAsia" w:ascii="宋体"/>
                      <w:sz w:val="18"/>
                      <w:szCs w:val="18"/>
                      <w:lang w:eastAsia="zh-CN"/>
                    </w:rPr>
                    <w:t>，</w:t>
                  </w:r>
                  <w:r>
                    <w:rPr>
                      <w:rFonts w:hint="default" w:ascii="宋体"/>
                      <w:sz w:val="18"/>
                      <w:szCs w:val="18"/>
                      <w:lang w:val="en-US" w:eastAsia="zh-CN"/>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8" w:space="0"/>
                  </w:tcBorders>
                  <w:noWrap w:val="0"/>
                  <w:vAlign w:val="top"/>
                </w:tcPr>
                <w:p>
                  <w:pPr>
                    <w:keepNext w:val="0"/>
                    <w:keepLines w:val="0"/>
                    <w:pageBreakBefore w:val="0"/>
                    <w:kinsoku/>
                    <w:wordWrap/>
                    <w:overflowPunct/>
                    <w:topLinePunct w:val="0"/>
                    <w:bidi w:val="0"/>
                    <w:adjustRightInd/>
                    <w:snapToGrid/>
                    <w:jc w:val="center"/>
                    <w:textAlignment w:val="auto"/>
                    <w:rPr>
                      <w:rFonts w:hint="eastAsia" w:ascii="宋体"/>
                      <w:sz w:val="18"/>
                      <w:szCs w:val="18"/>
                    </w:rPr>
                  </w:pPr>
                  <w:r>
                    <w:rPr>
                      <w:rFonts w:hint="eastAsia" w:ascii="宋体"/>
                      <w:sz w:val="18"/>
                      <w:szCs w:val="18"/>
                    </w:rPr>
                    <w:t>轮子高度</w:t>
                  </w:r>
                </w:p>
              </w:tc>
              <w:tc>
                <w:tcPr>
                  <w:tcW w:w="1540" w:type="dxa"/>
                  <w:tcBorders>
                    <w:top w:val="single" w:color="auto" w:sz="8" w:space="0"/>
                  </w:tcBorders>
                  <w:noWrap w:val="0"/>
                  <w:vAlign w:val="top"/>
                </w:tcPr>
                <w:p>
                  <w:pPr>
                    <w:keepNext w:val="0"/>
                    <w:keepLines w:val="0"/>
                    <w:pageBreakBefore w:val="0"/>
                    <w:kinsoku/>
                    <w:wordWrap/>
                    <w:overflowPunct/>
                    <w:topLinePunct w:val="0"/>
                    <w:bidi w:val="0"/>
                    <w:adjustRightInd/>
                    <w:snapToGrid/>
                    <w:jc w:val="center"/>
                    <w:textAlignment w:val="auto"/>
                    <w:rPr>
                      <w:rFonts w:hint="default" w:ascii="宋体"/>
                      <w:sz w:val="18"/>
                      <w:szCs w:val="18"/>
                      <w:lang w:val="en-US" w:eastAsia="zh-CN"/>
                    </w:rPr>
                  </w:pPr>
                  <w:r>
                    <w:rPr>
                      <w:rFonts w:hint="eastAsia" w:ascii="宋体"/>
                      <w:sz w:val="18"/>
                      <w:szCs w:val="18"/>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44" w:type="dxa"/>
                  <w:noWrap w:val="0"/>
                  <w:vAlign w:val="top"/>
                </w:tcPr>
                <w:p>
                  <w:pPr>
                    <w:keepNext w:val="0"/>
                    <w:keepLines w:val="0"/>
                    <w:pageBreakBefore w:val="0"/>
                    <w:kinsoku/>
                    <w:wordWrap/>
                    <w:overflowPunct/>
                    <w:topLinePunct w:val="0"/>
                    <w:bidi w:val="0"/>
                    <w:adjustRightInd/>
                    <w:snapToGrid/>
                    <w:jc w:val="center"/>
                    <w:textAlignment w:val="auto"/>
                    <w:rPr>
                      <w:rFonts w:hint="eastAsia" w:ascii="宋体"/>
                      <w:sz w:val="18"/>
                      <w:szCs w:val="18"/>
                    </w:rPr>
                  </w:pPr>
                  <w:r>
                    <w:rPr>
                      <w:rFonts w:hint="eastAsia" w:ascii="宋体"/>
                      <w:sz w:val="18"/>
                      <w:szCs w:val="18"/>
                    </w:rPr>
                    <w:t>后帮高度</w:t>
                  </w:r>
                </w:p>
              </w:tc>
              <w:tc>
                <w:tcPr>
                  <w:tcW w:w="1540" w:type="dxa"/>
                  <w:noWrap w:val="0"/>
                  <w:vAlign w:val="top"/>
                </w:tcPr>
                <w:p>
                  <w:pPr>
                    <w:keepNext w:val="0"/>
                    <w:keepLines w:val="0"/>
                    <w:pageBreakBefore w:val="0"/>
                    <w:kinsoku/>
                    <w:wordWrap/>
                    <w:overflowPunct/>
                    <w:topLinePunct w:val="0"/>
                    <w:bidi w:val="0"/>
                    <w:adjustRightInd/>
                    <w:snapToGrid/>
                    <w:jc w:val="center"/>
                    <w:textAlignment w:val="auto"/>
                    <w:rPr>
                      <w:rFonts w:hint="default" w:ascii="宋体"/>
                      <w:sz w:val="18"/>
                      <w:szCs w:val="18"/>
                      <w:lang w:val="en-US" w:eastAsia="zh-CN"/>
                    </w:rPr>
                  </w:pPr>
                  <w:r>
                    <w:rPr>
                      <w:rFonts w:hint="eastAsia" w:ascii="宋体"/>
                      <w:sz w:val="18"/>
                      <w:szCs w:val="1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44" w:type="dxa"/>
                  <w:tcBorders>
                    <w:bottom w:val="single" w:color="auto" w:sz="4" w:space="0"/>
                  </w:tcBorders>
                  <w:noWrap w:val="0"/>
                  <w:vAlign w:val="top"/>
                </w:tcPr>
                <w:p>
                  <w:pPr>
                    <w:keepNext w:val="0"/>
                    <w:keepLines w:val="0"/>
                    <w:pageBreakBefore w:val="0"/>
                    <w:kinsoku/>
                    <w:wordWrap/>
                    <w:overflowPunct/>
                    <w:topLinePunct w:val="0"/>
                    <w:bidi w:val="0"/>
                    <w:adjustRightInd/>
                    <w:snapToGrid/>
                    <w:jc w:val="center"/>
                    <w:textAlignment w:val="auto"/>
                    <w:rPr>
                      <w:rFonts w:hint="eastAsia" w:ascii="宋体"/>
                      <w:sz w:val="18"/>
                      <w:szCs w:val="18"/>
                    </w:rPr>
                  </w:pPr>
                  <w:r>
                    <w:rPr>
                      <w:rFonts w:hint="eastAsia" w:ascii="宋体"/>
                      <w:sz w:val="18"/>
                      <w:szCs w:val="18"/>
                    </w:rPr>
                    <w:t>外底长度</w:t>
                  </w:r>
                </w:p>
              </w:tc>
              <w:tc>
                <w:tcPr>
                  <w:tcW w:w="1540" w:type="dxa"/>
                  <w:tcBorders>
                    <w:bottom w:val="single" w:color="auto" w:sz="4" w:space="0"/>
                  </w:tcBorders>
                  <w:noWrap w:val="0"/>
                  <w:vAlign w:val="top"/>
                </w:tcPr>
                <w:p>
                  <w:pPr>
                    <w:keepNext w:val="0"/>
                    <w:keepLines w:val="0"/>
                    <w:pageBreakBefore w:val="0"/>
                    <w:kinsoku/>
                    <w:wordWrap/>
                    <w:overflowPunct/>
                    <w:topLinePunct w:val="0"/>
                    <w:bidi w:val="0"/>
                    <w:adjustRightInd/>
                    <w:snapToGrid/>
                    <w:jc w:val="center"/>
                    <w:textAlignment w:val="auto"/>
                    <w:rPr>
                      <w:rFonts w:hint="eastAsia" w:ascii="宋体"/>
                      <w:sz w:val="18"/>
                      <w:szCs w:val="18"/>
                    </w:rPr>
                  </w:pPr>
                  <w:r>
                    <w:rPr>
                      <w:rFonts w:hint="eastAsia" w:ascii="宋体"/>
                      <w:sz w:val="18"/>
                      <w:szCs w:val="18"/>
                      <w:lang w:val="en-US" w:eastAsia="zh-CN"/>
                    </w:rPr>
                    <w:t>1</w:t>
                  </w:r>
                  <w:r>
                    <w:rPr>
                      <w:rFonts w:hint="eastAsia" w:ascii="宋体"/>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bottom w:val="single" w:color="auto" w:sz="8" w:space="0"/>
                  </w:tcBorders>
                  <w:noWrap w:val="0"/>
                  <w:vAlign w:val="top"/>
                </w:tcPr>
                <w:p>
                  <w:pPr>
                    <w:keepNext w:val="0"/>
                    <w:keepLines w:val="0"/>
                    <w:pageBreakBefore w:val="0"/>
                    <w:kinsoku/>
                    <w:wordWrap/>
                    <w:overflowPunct/>
                    <w:topLinePunct w:val="0"/>
                    <w:bidi w:val="0"/>
                    <w:adjustRightInd/>
                    <w:snapToGrid/>
                    <w:jc w:val="center"/>
                    <w:textAlignment w:val="auto"/>
                    <w:rPr>
                      <w:rFonts w:hint="eastAsia" w:ascii="宋体"/>
                      <w:sz w:val="18"/>
                      <w:szCs w:val="18"/>
                    </w:rPr>
                  </w:pPr>
                  <w:r>
                    <w:rPr>
                      <w:rFonts w:hint="eastAsia" w:ascii="宋体"/>
                      <w:sz w:val="18"/>
                      <w:szCs w:val="18"/>
                    </w:rPr>
                    <w:t>外底宽度</w:t>
                  </w:r>
                </w:p>
              </w:tc>
              <w:tc>
                <w:tcPr>
                  <w:tcW w:w="1540" w:type="dxa"/>
                  <w:tcBorders>
                    <w:top w:val="single" w:color="auto" w:sz="4" w:space="0"/>
                    <w:bottom w:val="single" w:color="auto" w:sz="8" w:space="0"/>
                  </w:tcBorders>
                  <w:noWrap w:val="0"/>
                  <w:vAlign w:val="top"/>
                </w:tcPr>
                <w:p>
                  <w:pPr>
                    <w:keepNext w:val="0"/>
                    <w:keepLines w:val="0"/>
                    <w:pageBreakBefore w:val="0"/>
                    <w:kinsoku/>
                    <w:wordWrap/>
                    <w:overflowPunct/>
                    <w:topLinePunct w:val="0"/>
                    <w:bidi w:val="0"/>
                    <w:adjustRightInd/>
                    <w:snapToGrid/>
                    <w:jc w:val="center"/>
                    <w:textAlignment w:val="auto"/>
                    <w:rPr>
                      <w:rFonts w:hint="default" w:ascii="宋体"/>
                      <w:sz w:val="18"/>
                      <w:szCs w:val="18"/>
                      <w:lang w:val="en-US" w:eastAsia="zh-CN"/>
                    </w:rPr>
                  </w:pPr>
                  <w:r>
                    <w:rPr>
                      <w:rFonts w:hint="eastAsia" w:ascii="宋体"/>
                      <w:sz w:val="18"/>
                      <w:szCs w:val="18"/>
                      <w:lang w:val="en-US" w:eastAsia="zh-CN"/>
                    </w:rPr>
                    <w:t>0.5</w:t>
                  </w:r>
                </w:p>
              </w:tc>
            </w:tr>
          </w:tbl>
          <w:p>
            <w:pPr>
              <w:tabs>
                <w:tab w:val="center" w:pos="4201"/>
                <w:tab w:val="right" w:leader="dot" w:pos="9298"/>
              </w:tabs>
              <w:adjustRightInd w:val="0"/>
              <w:snapToGrid w:val="0"/>
              <w:spacing w:line="240" w:lineRule="atLeast"/>
              <w:jc w:val="left"/>
              <w:rPr>
                <w:rFonts w:hint="eastAsia" w:ascii="宋体" w:eastAsia="宋体"/>
                <w:szCs w:val="22"/>
                <w:lang w:eastAsia="zh-CN"/>
              </w:rPr>
            </w:pPr>
          </w:p>
        </w:tc>
        <w:tc>
          <w:tcPr>
            <w:tcW w:w="1657" w:type="pct"/>
            <w:vAlign w:val="center"/>
          </w:tcPr>
          <w:p>
            <w:pPr>
              <w:pStyle w:val="1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textAlignment w:val="auto"/>
              <w:outlineLvl w:val="3"/>
              <w:rPr>
                <w:rFonts w:hint="eastAsia" w:ascii="宋体" w:hAnsi="Times New Roman" w:eastAsia="宋体" w:cs="Times New Roman"/>
                <w:szCs w:val="22"/>
              </w:rPr>
            </w:pPr>
            <w:r>
              <w:rPr>
                <w:rFonts w:hint="eastAsia" w:ascii="宋体" w:hAnsi="Times New Roman" w:eastAsia="宋体" w:cs="Times New Roman"/>
                <w:szCs w:val="22"/>
              </w:rPr>
              <w:t>同一双轮滑鞋相同部位对称一致；同一双轮滑鞋对称部位尺寸允差应符合表1的规定。</w:t>
            </w:r>
          </w:p>
          <w:p>
            <w:pPr>
              <w:pStyle w:val="29"/>
              <w:keepNext w:val="0"/>
              <w:keepLines w:val="0"/>
              <w:pageBreakBefore w:val="0"/>
              <w:tabs>
                <w:tab w:val="left" w:pos="360"/>
                <w:tab w:val="clear" w:pos="720"/>
              </w:tabs>
              <w:kinsoku/>
              <w:wordWrap/>
              <w:overflowPunct/>
              <w:topLinePunct w:val="0"/>
              <w:bidi w:val="0"/>
              <w:adjustRightInd/>
              <w:snapToGrid/>
              <w:spacing w:beforeLines="0" w:afterLines="0"/>
              <w:jc w:val="center"/>
              <w:textAlignment w:val="auto"/>
              <w:rPr>
                <w:rFonts w:hint="eastAsia"/>
                <w:sz w:val="18"/>
                <w:szCs w:val="18"/>
              </w:rPr>
            </w:pPr>
            <w:r>
              <w:rPr>
                <w:rFonts w:hint="eastAsia" w:hAnsi="黑体" w:cs="黑体"/>
                <w:sz w:val="18"/>
                <w:szCs w:val="18"/>
                <w:lang w:eastAsia="zh-CN"/>
              </w:rPr>
              <w:t>表</w:t>
            </w:r>
            <w:r>
              <w:rPr>
                <w:rFonts w:hint="eastAsia" w:hAnsi="黑体" w:cs="黑体"/>
                <w:sz w:val="18"/>
                <w:szCs w:val="18"/>
                <w:lang w:val="en-US" w:eastAsia="zh-CN"/>
              </w:rPr>
              <w:t>1</w:t>
            </w:r>
            <w:r>
              <w:rPr>
                <w:rFonts w:hint="eastAsia" w:hAnsi="黑体" w:cs="黑体"/>
                <w:sz w:val="18"/>
                <w:szCs w:val="18"/>
              </w:rPr>
              <w:t>尺寸允差</w:t>
            </w:r>
            <w:r>
              <w:rPr>
                <w:rFonts w:hint="eastAsia"/>
                <w:sz w:val="18"/>
                <w:szCs w:val="18"/>
                <w:lang w:val="en-US" w:eastAsia="zh-CN"/>
              </w:rPr>
              <w:t xml:space="preserve">                       </w:t>
            </w:r>
          </w:p>
          <w:tbl>
            <w:tblPr>
              <w:tblStyle w:val="7"/>
              <w:tblW w:w="2725" w:type="dxa"/>
              <w:tblInd w:w="1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8" w:space="0"/>
                    <w:bottom w:val="single" w:color="auto" w:sz="8" w:space="0"/>
                  </w:tcBorders>
                  <w:noWrap w:val="0"/>
                  <w:vAlign w:val="top"/>
                </w:tcPr>
                <w:p>
                  <w:pPr>
                    <w:keepNext w:val="0"/>
                    <w:keepLines w:val="0"/>
                    <w:pageBreakBefore w:val="0"/>
                    <w:kinsoku/>
                    <w:wordWrap/>
                    <w:overflowPunct/>
                    <w:topLinePunct w:val="0"/>
                    <w:bidi w:val="0"/>
                    <w:adjustRightInd/>
                    <w:snapToGrid/>
                    <w:jc w:val="center"/>
                    <w:textAlignment w:val="auto"/>
                    <w:rPr>
                      <w:rFonts w:hint="eastAsia" w:ascii="宋体"/>
                      <w:sz w:val="18"/>
                      <w:szCs w:val="18"/>
                    </w:rPr>
                  </w:pPr>
                  <w:r>
                    <w:rPr>
                      <w:rFonts w:hint="eastAsia" w:ascii="宋体"/>
                      <w:sz w:val="18"/>
                      <w:szCs w:val="18"/>
                    </w:rPr>
                    <w:t>检验项目</w:t>
                  </w:r>
                </w:p>
              </w:tc>
              <w:tc>
                <w:tcPr>
                  <w:tcW w:w="1597" w:type="dxa"/>
                  <w:tcBorders>
                    <w:top w:val="single" w:color="auto" w:sz="8" w:space="0"/>
                    <w:bottom w:val="single" w:color="auto" w:sz="8" w:space="0"/>
                  </w:tcBorders>
                  <w:noWrap w:val="0"/>
                  <w:vAlign w:val="top"/>
                </w:tcPr>
                <w:p>
                  <w:pPr>
                    <w:keepNext w:val="0"/>
                    <w:keepLines w:val="0"/>
                    <w:pageBreakBefore w:val="0"/>
                    <w:kinsoku/>
                    <w:wordWrap/>
                    <w:overflowPunct/>
                    <w:topLinePunct w:val="0"/>
                    <w:bidi w:val="0"/>
                    <w:adjustRightInd/>
                    <w:snapToGrid/>
                    <w:jc w:val="center"/>
                    <w:textAlignment w:val="auto"/>
                    <w:rPr>
                      <w:rFonts w:hint="eastAsia" w:ascii="宋体" w:eastAsia="宋体"/>
                      <w:sz w:val="18"/>
                      <w:szCs w:val="18"/>
                      <w:lang w:val="en-US" w:eastAsia="zh-CN"/>
                    </w:rPr>
                  </w:pPr>
                  <w:r>
                    <w:rPr>
                      <w:rFonts w:hint="eastAsia" w:ascii="宋体"/>
                      <w:sz w:val="18"/>
                      <w:szCs w:val="18"/>
                    </w:rPr>
                    <w:t>允差</w:t>
                  </w:r>
                  <w:r>
                    <w:rPr>
                      <w:rFonts w:hint="eastAsia" w:ascii="宋体"/>
                      <w:sz w:val="18"/>
                      <w:szCs w:val="18"/>
                      <w:lang w:eastAsia="zh-CN"/>
                    </w:rPr>
                    <w:t>，</w:t>
                  </w:r>
                  <w:r>
                    <w:rPr>
                      <w:rFonts w:hint="default" w:ascii="宋体"/>
                      <w:sz w:val="18"/>
                      <w:szCs w:val="18"/>
                      <w:lang w:val="en-US" w:eastAsia="zh-CN"/>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8" w:space="0"/>
                  </w:tcBorders>
                  <w:noWrap w:val="0"/>
                  <w:vAlign w:val="top"/>
                </w:tcPr>
                <w:p>
                  <w:pPr>
                    <w:keepNext w:val="0"/>
                    <w:keepLines w:val="0"/>
                    <w:pageBreakBefore w:val="0"/>
                    <w:kinsoku/>
                    <w:wordWrap/>
                    <w:overflowPunct/>
                    <w:topLinePunct w:val="0"/>
                    <w:bidi w:val="0"/>
                    <w:adjustRightInd/>
                    <w:snapToGrid/>
                    <w:jc w:val="center"/>
                    <w:textAlignment w:val="auto"/>
                    <w:rPr>
                      <w:rFonts w:hint="eastAsia" w:ascii="宋体"/>
                      <w:sz w:val="18"/>
                      <w:szCs w:val="18"/>
                    </w:rPr>
                  </w:pPr>
                  <w:r>
                    <w:rPr>
                      <w:rFonts w:hint="eastAsia" w:ascii="宋体"/>
                      <w:sz w:val="18"/>
                      <w:szCs w:val="18"/>
                    </w:rPr>
                    <w:t>轮子高度</w:t>
                  </w:r>
                </w:p>
              </w:tc>
              <w:tc>
                <w:tcPr>
                  <w:tcW w:w="1597" w:type="dxa"/>
                  <w:tcBorders>
                    <w:top w:val="single" w:color="auto" w:sz="8" w:space="0"/>
                  </w:tcBorders>
                  <w:noWrap w:val="0"/>
                  <w:vAlign w:val="top"/>
                </w:tcPr>
                <w:p>
                  <w:pPr>
                    <w:keepNext w:val="0"/>
                    <w:keepLines w:val="0"/>
                    <w:pageBreakBefore w:val="0"/>
                    <w:kinsoku/>
                    <w:wordWrap/>
                    <w:overflowPunct/>
                    <w:topLinePunct w:val="0"/>
                    <w:bidi w:val="0"/>
                    <w:adjustRightInd/>
                    <w:snapToGrid/>
                    <w:jc w:val="center"/>
                    <w:textAlignment w:val="auto"/>
                    <w:rPr>
                      <w:rFonts w:hint="default" w:ascii="宋体"/>
                      <w:sz w:val="18"/>
                      <w:szCs w:val="18"/>
                      <w:lang w:val="en-US" w:eastAsia="zh-CN"/>
                    </w:rPr>
                  </w:pPr>
                  <w:r>
                    <w:rPr>
                      <w:rFonts w:hint="eastAsia" w:ascii="宋体"/>
                      <w:sz w:val="18"/>
                      <w:szCs w:val="1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8" w:type="dxa"/>
                  <w:noWrap w:val="0"/>
                  <w:vAlign w:val="top"/>
                </w:tcPr>
                <w:p>
                  <w:pPr>
                    <w:keepNext w:val="0"/>
                    <w:keepLines w:val="0"/>
                    <w:pageBreakBefore w:val="0"/>
                    <w:kinsoku/>
                    <w:wordWrap/>
                    <w:overflowPunct/>
                    <w:topLinePunct w:val="0"/>
                    <w:bidi w:val="0"/>
                    <w:adjustRightInd/>
                    <w:snapToGrid/>
                    <w:jc w:val="center"/>
                    <w:textAlignment w:val="auto"/>
                    <w:rPr>
                      <w:rFonts w:hint="eastAsia" w:ascii="宋体"/>
                      <w:sz w:val="18"/>
                      <w:szCs w:val="18"/>
                    </w:rPr>
                  </w:pPr>
                  <w:r>
                    <w:rPr>
                      <w:rFonts w:hint="eastAsia" w:ascii="宋体"/>
                      <w:sz w:val="18"/>
                      <w:szCs w:val="18"/>
                    </w:rPr>
                    <w:t>后帮高度</w:t>
                  </w:r>
                </w:p>
              </w:tc>
              <w:tc>
                <w:tcPr>
                  <w:tcW w:w="1597" w:type="dxa"/>
                  <w:noWrap w:val="0"/>
                  <w:vAlign w:val="top"/>
                </w:tcPr>
                <w:p>
                  <w:pPr>
                    <w:keepNext w:val="0"/>
                    <w:keepLines w:val="0"/>
                    <w:pageBreakBefore w:val="0"/>
                    <w:kinsoku/>
                    <w:wordWrap/>
                    <w:overflowPunct/>
                    <w:topLinePunct w:val="0"/>
                    <w:bidi w:val="0"/>
                    <w:adjustRightInd/>
                    <w:snapToGrid/>
                    <w:jc w:val="center"/>
                    <w:textAlignment w:val="auto"/>
                    <w:rPr>
                      <w:rFonts w:hint="default" w:ascii="宋体"/>
                      <w:sz w:val="18"/>
                      <w:szCs w:val="18"/>
                      <w:lang w:val="en-US" w:eastAsia="zh-CN"/>
                    </w:rPr>
                  </w:pPr>
                  <w:r>
                    <w:rPr>
                      <w:rFonts w:hint="eastAsia" w:ascii="宋体"/>
                      <w:sz w:val="18"/>
                      <w:szCs w:val="18"/>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8" w:type="dxa"/>
                  <w:tcBorders>
                    <w:bottom w:val="single" w:color="auto" w:sz="4" w:space="0"/>
                  </w:tcBorders>
                  <w:noWrap w:val="0"/>
                  <w:vAlign w:val="top"/>
                </w:tcPr>
                <w:p>
                  <w:pPr>
                    <w:keepNext w:val="0"/>
                    <w:keepLines w:val="0"/>
                    <w:pageBreakBefore w:val="0"/>
                    <w:kinsoku/>
                    <w:wordWrap/>
                    <w:overflowPunct/>
                    <w:topLinePunct w:val="0"/>
                    <w:bidi w:val="0"/>
                    <w:adjustRightInd/>
                    <w:snapToGrid/>
                    <w:jc w:val="center"/>
                    <w:textAlignment w:val="auto"/>
                    <w:rPr>
                      <w:rFonts w:hint="eastAsia" w:ascii="宋体"/>
                      <w:sz w:val="18"/>
                      <w:szCs w:val="18"/>
                    </w:rPr>
                  </w:pPr>
                  <w:r>
                    <w:rPr>
                      <w:rFonts w:hint="eastAsia" w:ascii="宋体"/>
                      <w:sz w:val="18"/>
                      <w:szCs w:val="18"/>
                    </w:rPr>
                    <w:t>外底长度</w:t>
                  </w:r>
                </w:p>
              </w:tc>
              <w:tc>
                <w:tcPr>
                  <w:tcW w:w="1597" w:type="dxa"/>
                  <w:tcBorders>
                    <w:bottom w:val="single" w:color="auto" w:sz="4" w:space="0"/>
                  </w:tcBorders>
                  <w:noWrap w:val="0"/>
                  <w:vAlign w:val="top"/>
                </w:tcPr>
                <w:p>
                  <w:pPr>
                    <w:keepNext w:val="0"/>
                    <w:keepLines w:val="0"/>
                    <w:pageBreakBefore w:val="0"/>
                    <w:kinsoku/>
                    <w:wordWrap/>
                    <w:overflowPunct/>
                    <w:topLinePunct w:val="0"/>
                    <w:bidi w:val="0"/>
                    <w:adjustRightInd/>
                    <w:snapToGrid/>
                    <w:jc w:val="center"/>
                    <w:textAlignment w:val="auto"/>
                    <w:rPr>
                      <w:rFonts w:hint="eastAsia" w:ascii="宋体"/>
                      <w:sz w:val="18"/>
                      <w:szCs w:val="18"/>
                    </w:rPr>
                  </w:pPr>
                  <w:r>
                    <w:rPr>
                      <w:rFonts w:hint="eastAsia" w:ascii="宋体"/>
                      <w:sz w:val="18"/>
                      <w:szCs w:val="18"/>
                      <w:lang w:val="en-US" w:eastAsia="zh-CN"/>
                    </w:rPr>
                    <w:t>2</w:t>
                  </w:r>
                  <w:r>
                    <w:rPr>
                      <w:rFonts w:hint="eastAsia" w:ascii="宋体"/>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bottom w:val="single" w:color="auto" w:sz="8" w:space="0"/>
                  </w:tcBorders>
                  <w:noWrap w:val="0"/>
                  <w:vAlign w:val="top"/>
                </w:tcPr>
                <w:p>
                  <w:pPr>
                    <w:keepNext w:val="0"/>
                    <w:keepLines w:val="0"/>
                    <w:pageBreakBefore w:val="0"/>
                    <w:kinsoku/>
                    <w:wordWrap/>
                    <w:overflowPunct/>
                    <w:topLinePunct w:val="0"/>
                    <w:bidi w:val="0"/>
                    <w:adjustRightInd/>
                    <w:snapToGrid/>
                    <w:jc w:val="center"/>
                    <w:textAlignment w:val="auto"/>
                    <w:rPr>
                      <w:rFonts w:hint="eastAsia" w:ascii="宋体"/>
                      <w:sz w:val="18"/>
                      <w:szCs w:val="18"/>
                    </w:rPr>
                  </w:pPr>
                  <w:r>
                    <w:rPr>
                      <w:rFonts w:hint="eastAsia" w:ascii="宋体"/>
                      <w:sz w:val="18"/>
                      <w:szCs w:val="18"/>
                    </w:rPr>
                    <w:t>外底宽度</w:t>
                  </w:r>
                </w:p>
              </w:tc>
              <w:tc>
                <w:tcPr>
                  <w:tcW w:w="1597" w:type="dxa"/>
                  <w:tcBorders>
                    <w:top w:val="single" w:color="auto" w:sz="4" w:space="0"/>
                    <w:bottom w:val="single" w:color="auto" w:sz="8" w:space="0"/>
                  </w:tcBorders>
                  <w:noWrap w:val="0"/>
                  <w:vAlign w:val="top"/>
                </w:tcPr>
                <w:p>
                  <w:pPr>
                    <w:keepNext w:val="0"/>
                    <w:keepLines w:val="0"/>
                    <w:pageBreakBefore w:val="0"/>
                    <w:kinsoku/>
                    <w:wordWrap/>
                    <w:overflowPunct/>
                    <w:topLinePunct w:val="0"/>
                    <w:bidi w:val="0"/>
                    <w:adjustRightInd/>
                    <w:snapToGrid/>
                    <w:jc w:val="center"/>
                    <w:textAlignment w:val="auto"/>
                    <w:rPr>
                      <w:rFonts w:hint="default" w:ascii="宋体"/>
                      <w:sz w:val="18"/>
                      <w:szCs w:val="18"/>
                      <w:lang w:val="en-US" w:eastAsia="zh-CN"/>
                    </w:rPr>
                  </w:pPr>
                  <w:r>
                    <w:rPr>
                      <w:rFonts w:hint="eastAsia" w:ascii="宋体"/>
                      <w:sz w:val="18"/>
                      <w:szCs w:val="18"/>
                      <w:lang w:val="en-US" w:eastAsia="zh-CN"/>
                    </w:rPr>
                    <w:t>1.0</w:t>
                  </w:r>
                </w:p>
              </w:tc>
            </w:tr>
          </w:tbl>
          <w:p>
            <w:pPr>
              <w:adjustRightInd w:val="0"/>
              <w:snapToGrid w:val="0"/>
              <w:spacing w:line="240" w:lineRule="atLeast"/>
              <w:jc w:val="center"/>
              <w:rPr>
                <w:rFonts w:hint="eastAsia" w:ascii="宋体" w:hAnsi="宋体" w:cs="宋体"/>
                <w:spacing w:val="20"/>
                <w:sz w:val="21"/>
                <w:szCs w:val="21"/>
                <w:lang w:eastAsia="zh-CN"/>
              </w:rPr>
            </w:pP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轮子着地性</w:t>
            </w:r>
          </w:p>
        </w:tc>
        <w:tc>
          <w:tcPr>
            <w:tcW w:w="1670" w:type="pct"/>
            <w:shd w:val="clear" w:color="auto" w:fill="auto"/>
            <w:vAlign w:val="center"/>
          </w:tcPr>
          <w:p>
            <w:pPr>
              <w:pStyle w:val="13"/>
              <w:rPr>
                <w:rFonts w:ascii="宋体" w:hAnsi="宋体"/>
                <w:sz w:val="21"/>
                <w:szCs w:val="21"/>
                <w:lang w:eastAsia="zh-CN"/>
              </w:rPr>
            </w:pPr>
            <w:r>
              <w:rPr>
                <w:rFonts w:hint="eastAsia"/>
              </w:rPr>
              <w:t>轮子应同时着地(特殊结构和功能的鞋除外)。</w:t>
            </w:r>
          </w:p>
        </w:tc>
        <w:tc>
          <w:tcPr>
            <w:tcW w:w="1657" w:type="pct"/>
            <w:vAlign w:val="center"/>
          </w:tcPr>
          <w:p>
            <w:pPr>
              <w:adjustRightInd w:val="0"/>
              <w:snapToGrid w:val="0"/>
              <w:spacing w:line="240" w:lineRule="atLeast"/>
              <w:jc w:val="center"/>
              <w:rPr>
                <w:rFonts w:hint="eastAsia" w:ascii="宋体" w:hAnsi="宋体" w:cs="宋体"/>
                <w:spacing w:val="20"/>
                <w:sz w:val="21"/>
                <w:szCs w:val="21"/>
                <w:lang w:eastAsia="zh-CN"/>
              </w:rPr>
            </w:pPr>
            <w:r>
              <w:rPr>
                <w:rFonts w:hint="eastAsia" w:ascii="宋体" w:hAnsi="宋体" w:cs="宋体"/>
                <w:spacing w:val="20"/>
                <w:sz w:val="21"/>
                <w:szCs w:val="21"/>
                <w:lang w:eastAsia="zh-CN"/>
              </w:rPr>
              <w:t>符合标准要求</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轮子硬度</w:t>
            </w:r>
          </w:p>
        </w:tc>
        <w:tc>
          <w:tcPr>
            <w:tcW w:w="1670" w:type="pct"/>
            <w:shd w:val="clear" w:color="auto" w:fill="auto"/>
            <w:vAlign w:val="center"/>
          </w:tcPr>
          <w:p>
            <w:pPr>
              <w:pStyle w:val="13"/>
              <w:rPr>
                <w:rFonts w:hint="eastAsia"/>
              </w:rPr>
            </w:pPr>
            <w:r>
              <w:rPr>
                <w:rFonts w:hint="eastAsia" w:ascii="宋体" w:eastAsia="宋体"/>
                <w:szCs w:val="22"/>
              </w:rPr>
              <w:t>轮子硬度应不大于邵氏硬度A95且不小于邵氏硬度A75。</w:t>
            </w:r>
          </w:p>
        </w:tc>
        <w:tc>
          <w:tcPr>
            <w:tcW w:w="1657" w:type="pct"/>
            <w:vAlign w:val="center"/>
          </w:tcPr>
          <w:p>
            <w:pPr>
              <w:adjustRightInd w:val="0"/>
              <w:snapToGrid w:val="0"/>
              <w:spacing w:line="240" w:lineRule="atLeast"/>
              <w:jc w:val="center"/>
              <w:rPr>
                <w:rFonts w:hint="eastAsia" w:ascii="宋体" w:hAnsi="宋体" w:cs="宋体"/>
                <w:spacing w:val="20"/>
                <w:sz w:val="21"/>
                <w:szCs w:val="21"/>
                <w:lang w:eastAsia="zh-CN"/>
              </w:rPr>
            </w:pPr>
            <w:r>
              <w:rPr>
                <w:rFonts w:hint="eastAsia" w:ascii="宋体" w:hAnsi="宋体" w:cs="宋体"/>
                <w:spacing w:val="20"/>
                <w:sz w:val="21"/>
                <w:szCs w:val="21"/>
                <w:lang w:eastAsia="zh-CN"/>
              </w:rPr>
              <w:t>符合标准要求</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高低温性能</w:t>
            </w:r>
          </w:p>
        </w:tc>
        <w:tc>
          <w:tcPr>
            <w:tcW w:w="1670" w:type="pct"/>
            <w:shd w:val="clear" w:color="auto" w:fill="auto"/>
            <w:vAlign w:val="center"/>
          </w:tcPr>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eastAsia="宋体"/>
                <w:szCs w:val="22"/>
              </w:rPr>
            </w:pPr>
            <w:r>
              <w:rPr>
                <w:rFonts w:hint="eastAsia" w:ascii="宋体" w:eastAsia="宋体"/>
                <w:szCs w:val="22"/>
                <w:lang w:val="en-US" w:eastAsia="zh-CN"/>
              </w:rPr>
              <w:t>1.</w:t>
            </w:r>
            <w:r>
              <w:rPr>
                <w:rFonts w:hint="eastAsia" w:ascii="宋体" w:eastAsia="宋体"/>
                <w:szCs w:val="22"/>
              </w:rPr>
              <w:t>高温性能，高温试验后轮滑鞋不应有明显气泡、麻点、脱胶和明显的变色、变形。</w:t>
            </w:r>
          </w:p>
          <w:p>
            <w:pPr>
              <w:pStyle w:val="13"/>
              <w:ind w:left="0" w:leftChars="0" w:firstLine="0" w:firstLineChars="0"/>
              <w:rPr>
                <w:rFonts w:hint="eastAsia"/>
              </w:rPr>
            </w:pPr>
            <w:r>
              <w:rPr>
                <w:rFonts w:hint="eastAsia" w:ascii="宋体" w:eastAsia="宋体"/>
                <w:szCs w:val="22"/>
                <w:lang w:val="en-US" w:eastAsia="zh-CN"/>
              </w:rPr>
              <w:t>2.</w:t>
            </w:r>
            <w:r>
              <w:rPr>
                <w:rFonts w:hint="eastAsia" w:ascii="宋体" w:eastAsia="宋体"/>
                <w:szCs w:val="22"/>
              </w:rPr>
              <w:t>低温跌落性能，低温跌落试验后轮滑鞋无龟裂，无损坏。</w:t>
            </w:r>
          </w:p>
        </w:tc>
        <w:tc>
          <w:tcPr>
            <w:tcW w:w="1657" w:type="pct"/>
            <w:vAlign w:val="center"/>
          </w:tcPr>
          <w:p>
            <w:pPr>
              <w:adjustRightInd w:val="0"/>
              <w:snapToGrid w:val="0"/>
              <w:spacing w:line="240" w:lineRule="atLeast"/>
              <w:jc w:val="center"/>
              <w:rPr>
                <w:rFonts w:hint="eastAsia" w:ascii="宋体" w:hAnsi="宋体" w:cs="宋体"/>
                <w:spacing w:val="20"/>
                <w:sz w:val="21"/>
                <w:szCs w:val="21"/>
                <w:lang w:eastAsia="zh-CN"/>
              </w:rPr>
            </w:pPr>
            <w:r>
              <w:rPr>
                <w:rFonts w:hint="eastAsia" w:ascii="宋体" w:hAnsi="宋体" w:cs="宋体"/>
                <w:spacing w:val="20"/>
                <w:sz w:val="21"/>
                <w:szCs w:val="21"/>
                <w:lang w:eastAsia="zh-CN"/>
              </w:rPr>
              <w:t>符合标准要求</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尖端</w:t>
            </w:r>
          </w:p>
        </w:tc>
        <w:tc>
          <w:tcPr>
            <w:tcW w:w="1670" w:type="pct"/>
            <w:shd w:val="clear" w:color="auto" w:fill="auto"/>
            <w:vAlign w:val="center"/>
          </w:tcPr>
          <w:p>
            <w:pPr>
              <w:pStyle w:val="13"/>
              <w:rPr>
                <w:rFonts w:hint="eastAsia"/>
              </w:rPr>
            </w:pPr>
            <w:r>
              <w:rPr>
                <w:rFonts w:hint="eastAsia"/>
              </w:rPr>
              <w:t>双排轮滑鞋不应有间距大于或等于10 mm的尖端突出物。</w:t>
            </w:r>
          </w:p>
        </w:tc>
        <w:tc>
          <w:tcPr>
            <w:tcW w:w="1657" w:type="pct"/>
            <w:vAlign w:val="center"/>
          </w:tcPr>
          <w:p>
            <w:pPr>
              <w:adjustRightInd w:val="0"/>
              <w:snapToGrid w:val="0"/>
              <w:spacing w:line="240" w:lineRule="atLeast"/>
              <w:jc w:val="center"/>
              <w:rPr>
                <w:rFonts w:hint="eastAsia" w:ascii="宋体" w:hAnsi="宋体" w:cs="宋体"/>
                <w:spacing w:val="20"/>
                <w:sz w:val="21"/>
                <w:szCs w:val="21"/>
                <w:lang w:eastAsia="zh-CN"/>
              </w:rPr>
            </w:pPr>
            <w:r>
              <w:rPr>
                <w:rFonts w:hint="eastAsia" w:ascii="宋体" w:hAnsi="宋体" w:cs="宋体"/>
                <w:spacing w:val="20"/>
                <w:sz w:val="21"/>
                <w:szCs w:val="21"/>
                <w:lang w:eastAsia="zh-CN"/>
              </w:rPr>
              <w:t>符合标准要求</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易操纵性能</w:t>
            </w:r>
          </w:p>
        </w:tc>
        <w:tc>
          <w:tcPr>
            <w:tcW w:w="1670" w:type="pct"/>
            <w:shd w:val="clear" w:color="auto" w:fill="auto"/>
            <w:vAlign w:val="center"/>
          </w:tcPr>
          <w:p>
            <w:pPr>
              <w:pStyle w:val="13"/>
              <w:jc w:val="left"/>
              <w:rPr>
                <w:rFonts w:hint="eastAsia" w:ascii="宋体" w:hAnsi="宋体" w:eastAsia="宋体" w:cs="宋体"/>
                <w:sz w:val="21"/>
                <w:szCs w:val="21"/>
              </w:rPr>
            </w:pPr>
            <w:r>
              <w:rPr>
                <w:rFonts w:hint="eastAsia" w:ascii="宋体" w:hAnsi="宋体" w:eastAsia="宋体" w:cs="宋体"/>
                <w:sz w:val="21"/>
                <w:szCs w:val="21"/>
              </w:rPr>
              <w:t>正常滑行时轮滑鞋轮架及其附件不应与轮子接触，</w:t>
            </w:r>
          </w:p>
        </w:tc>
        <w:tc>
          <w:tcPr>
            <w:tcW w:w="1657" w:type="pct"/>
            <w:vAlign w:val="center"/>
          </w:tcPr>
          <w:p>
            <w:pPr>
              <w:adjustRightInd w:val="0"/>
              <w:snapToGrid w:val="0"/>
              <w:spacing w:line="240" w:lineRule="atLeast"/>
              <w:jc w:val="center"/>
              <w:rPr>
                <w:rFonts w:hint="eastAsia" w:ascii="宋体" w:hAnsi="宋体" w:cs="宋体"/>
                <w:spacing w:val="20"/>
                <w:sz w:val="21"/>
                <w:szCs w:val="21"/>
                <w:lang w:eastAsia="zh-CN"/>
              </w:rPr>
            </w:pPr>
            <w:r>
              <w:rPr>
                <w:rFonts w:hint="eastAsia" w:ascii="宋体" w:hAnsi="宋体" w:cs="宋体"/>
                <w:spacing w:val="20"/>
                <w:sz w:val="21"/>
                <w:szCs w:val="21"/>
                <w:lang w:eastAsia="zh-CN"/>
              </w:rPr>
              <w:t>符合标准要求</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色牢度</w:t>
            </w:r>
          </w:p>
        </w:tc>
        <w:tc>
          <w:tcPr>
            <w:tcW w:w="1670" w:type="pct"/>
            <w:shd w:val="clear" w:color="auto" w:fill="auto"/>
            <w:vAlign w:val="center"/>
          </w:tcPr>
          <w:p>
            <w:pPr>
              <w:pStyle w:val="13"/>
              <w:jc w:val="left"/>
              <w:rPr>
                <w:rFonts w:hint="eastAsia" w:ascii="宋体" w:hAnsi="宋体" w:eastAsia="宋体" w:cs="宋体"/>
                <w:sz w:val="21"/>
                <w:szCs w:val="21"/>
              </w:rPr>
            </w:pPr>
            <w:r>
              <w:rPr>
                <w:rFonts w:hint="eastAsia" w:ascii="宋体" w:hAnsi="宋体" w:eastAsia="宋体" w:cs="宋体"/>
                <w:sz w:val="21"/>
                <w:szCs w:val="21"/>
              </w:rPr>
              <w:t>衬里和内垫摩擦色牢度：沾色不低于3 级</w:t>
            </w:r>
          </w:p>
        </w:tc>
        <w:tc>
          <w:tcPr>
            <w:tcW w:w="1657" w:type="pct"/>
            <w:vAlign w:val="center"/>
          </w:tcPr>
          <w:p>
            <w:pPr>
              <w:adjustRightInd w:val="0"/>
              <w:snapToGrid w:val="0"/>
              <w:spacing w:line="240" w:lineRule="atLeast"/>
              <w:jc w:val="center"/>
              <w:rPr>
                <w:rFonts w:hint="eastAsia" w:ascii="宋体" w:hAnsi="宋体" w:cs="宋体"/>
                <w:spacing w:val="20"/>
                <w:sz w:val="21"/>
                <w:szCs w:val="21"/>
                <w:lang w:eastAsia="zh-CN"/>
              </w:rPr>
            </w:pPr>
            <w:r>
              <w:rPr>
                <w:rFonts w:hint="eastAsia" w:ascii="宋体" w:hAnsi="宋体" w:cs="宋体"/>
                <w:spacing w:val="20"/>
                <w:sz w:val="21"/>
                <w:szCs w:val="21"/>
                <w:lang w:eastAsia="zh-CN"/>
              </w:rPr>
              <w:t>符合标准要求</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可分解有害芳香胺染料含量</w:t>
            </w:r>
          </w:p>
        </w:tc>
        <w:tc>
          <w:tcPr>
            <w:tcW w:w="1670" w:type="pct"/>
            <w:shd w:val="clear" w:color="auto" w:fill="auto"/>
            <w:vAlign w:val="center"/>
          </w:tcPr>
          <w:p>
            <w:pPr>
              <w:tabs>
                <w:tab w:val="center" w:pos="4201"/>
                <w:tab w:val="right" w:leader="dot" w:pos="9298"/>
              </w:tabs>
              <w:adjustRightInd w:val="0"/>
              <w:snapToGrid w:val="0"/>
              <w:spacing w:line="240" w:lineRule="atLeas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可分解有害芳香胺染料的含量应符合表2的要求。</w:t>
            </w:r>
          </w:p>
        </w:tc>
        <w:tc>
          <w:tcPr>
            <w:tcW w:w="1657" w:type="pct"/>
            <w:vAlign w:val="center"/>
          </w:tcPr>
          <w:p>
            <w:pPr>
              <w:adjustRightInd w:val="0"/>
              <w:snapToGrid w:val="0"/>
              <w:spacing w:line="240" w:lineRule="atLeast"/>
              <w:jc w:val="center"/>
              <w:rPr>
                <w:rFonts w:hint="eastAsia" w:ascii="宋体" w:hAnsi="宋体" w:cs="宋体"/>
                <w:spacing w:val="20"/>
                <w:sz w:val="21"/>
                <w:szCs w:val="21"/>
                <w:lang w:eastAsia="zh-CN"/>
              </w:rPr>
            </w:pPr>
            <w:r>
              <w:rPr>
                <w:rFonts w:hint="eastAsia" w:ascii="宋体" w:hAnsi="宋体" w:cs="宋体"/>
                <w:spacing w:val="20"/>
                <w:sz w:val="21"/>
                <w:szCs w:val="21"/>
                <w:lang w:eastAsia="zh-CN"/>
              </w:rPr>
              <w:t>符合标准要求</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游离或可部分水解的甲醛含量</w:t>
            </w:r>
          </w:p>
        </w:tc>
        <w:tc>
          <w:tcPr>
            <w:tcW w:w="1670" w:type="pct"/>
            <w:shd w:val="clear" w:color="auto" w:fill="auto"/>
            <w:vAlign w:val="center"/>
          </w:tcPr>
          <w:p>
            <w:pPr>
              <w:tabs>
                <w:tab w:val="center" w:pos="4201"/>
                <w:tab w:val="right" w:leader="dot" w:pos="9298"/>
              </w:tabs>
              <w:adjustRightInd w:val="0"/>
              <w:snapToGrid w:val="0"/>
              <w:spacing w:line="240" w:lineRule="atLeas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游离或可部分水解甲醛含量应符合表3的要求。</w:t>
            </w:r>
          </w:p>
        </w:tc>
        <w:tc>
          <w:tcPr>
            <w:tcW w:w="1657" w:type="pct"/>
            <w:vAlign w:val="center"/>
          </w:tcPr>
          <w:p>
            <w:pPr>
              <w:adjustRightInd w:val="0"/>
              <w:snapToGrid w:val="0"/>
              <w:spacing w:line="240" w:lineRule="atLeast"/>
              <w:jc w:val="center"/>
              <w:rPr>
                <w:rFonts w:hint="eastAsia" w:ascii="宋体" w:hAnsi="宋体" w:cs="宋体"/>
                <w:spacing w:val="20"/>
                <w:sz w:val="21"/>
                <w:szCs w:val="21"/>
                <w:lang w:eastAsia="zh-CN"/>
              </w:rPr>
            </w:pPr>
            <w:r>
              <w:rPr>
                <w:rFonts w:hint="eastAsia" w:ascii="宋体" w:hAnsi="宋体" w:cs="宋体"/>
                <w:spacing w:val="20"/>
                <w:sz w:val="21"/>
                <w:szCs w:val="21"/>
                <w:lang w:eastAsia="zh-CN"/>
              </w:rPr>
              <w:t>符合标准要求</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多环芳烃总量和苯并【a】芘含量</w:t>
            </w:r>
          </w:p>
        </w:tc>
        <w:tc>
          <w:tcPr>
            <w:tcW w:w="1670" w:type="pct"/>
            <w:shd w:val="clear" w:color="auto" w:fill="auto"/>
            <w:vAlign w:val="center"/>
          </w:tcPr>
          <w:p>
            <w:pPr>
              <w:pStyle w:val="15"/>
              <w:numPr>
                <w:ilvl w:val="0"/>
                <w:numId w:val="0"/>
              </w:numPr>
              <w:spacing w:before="156" w:after="156"/>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塑料制品中多环芳烃总量和苯并【a】芘的含量应符合表4的要求。</w:t>
            </w:r>
          </w:p>
        </w:tc>
        <w:tc>
          <w:tcPr>
            <w:tcW w:w="1657" w:type="pct"/>
            <w:vAlign w:val="center"/>
          </w:tcPr>
          <w:p>
            <w:pPr>
              <w:adjustRightInd w:val="0"/>
              <w:snapToGrid w:val="0"/>
              <w:spacing w:line="240" w:lineRule="atLeast"/>
              <w:jc w:val="center"/>
              <w:rPr>
                <w:rFonts w:hint="eastAsia" w:ascii="宋体" w:hAnsi="宋体" w:cs="宋体"/>
                <w:spacing w:val="20"/>
                <w:sz w:val="21"/>
                <w:szCs w:val="21"/>
                <w:lang w:eastAsia="zh-CN"/>
              </w:rPr>
            </w:pPr>
            <w:r>
              <w:rPr>
                <w:rFonts w:hint="eastAsia" w:ascii="宋体" w:hAnsi="宋体" w:cs="宋体"/>
                <w:spacing w:val="20"/>
                <w:sz w:val="21"/>
                <w:szCs w:val="21"/>
                <w:lang w:eastAsia="zh-CN"/>
              </w:rPr>
              <w:t>符合标准要求</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restart"/>
            <w:shd w:val="clear" w:color="auto" w:fill="auto"/>
            <w:vAlign w:val="center"/>
          </w:tcPr>
          <w:p>
            <w:pPr>
              <w:jc w:val="center"/>
              <w:rPr>
                <w:rFonts w:hint="eastAsia" w:ascii="宋体" w:hAnsi="宋体" w:eastAsia="宋体" w:cs="宋体"/>
                <w:spacing w:val="20"/>
                <w:sz w:val="21"/>
                <w:szCs w:val="21"/>
                <w:lang w:val="en-US" w:eastAsia="zh-CN"/>
              </w:rPr>
            </w:pPr>
            <w:r>
              <w:rPr>
                <w:rFonts w:hint="eastAsia" w:ascii="宋体" w:hAnsi="宋体" w:cs="宋体"/>
                <w:spacing w:val="20"/>
                <w:sz w:val="21"/>
                <w:szCs w:val="21"/>
                <w:lang w:val="en-US" w:eastAsia="zh-CN"/>
              </w:rPr>
              <w:t>关键指标</w:t>
            </w: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轮子磨损率</w:t>
            </w:r>
          </w:p>
        </w:tc>
        <w:tc>
          <w:tcPr>
            <w:tcW w:w="1670" w:type="pct"/>
            <w:shd w:val="clear" w:color="auto" w:fill="auto"/>
            <w:vAlign w:val="center"/>
          </w:tcPr>
          <w:p>
            <w:pPr>
              <w:pStyle w:val="15"/>
              <w:numPr>
                <w:ilvl w:val="0"/>
                <w:numId w:val="0"/>
              </w:numPr>
              <w:spacing w:before="156" w:after="156"/>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轮子磨损</w:t>
            </w:r>
            <w:r>
              <w:rPr>
                <w:rFonts w:hint="eastAsia" w:ascii="宋体" w:hAnsi="宋体" w:eastAsia="宋体" w:cs="宋体"/>
                <w:sz w:val="21"/>
                <w:szCs w:val="21"/>
                <w:lang w:val="en-US" w:eastAsia="zh-CN"/>
              </w:rPr>
              <w:t>率</w:t>
            </w:r>
            <w:r>
              <w:rPr>
                <w:rFonts w:hint="eastAsia" w:ascii="宋体" w:hAnsi="宋体" w:eastAsia="宋体" w:cs="宋体"/>
                <w:sz w:val="21"/>
                <w:szCs w:val="21"/>
              </w:rPr>
              <w:t>要求A类磨损</w:t>
            </w:r>
            <w:r>
              <w:rPr>
                <w:rFonts w:hint="eastAsia" w:ascii="宋体" w:hAnsi="宋体" w:eastAsia="宋体" w:cs="宋体"/>
                <w:sz w:val="21"/>
                <w:szCs w:val="21"/>
                <w:lang w:eastAsia="zh-CN"/>
              </w:rPr>
              <w:t>率</w:t>
            </w:r>
            <w:r>
              <w:rPr>
                <w:rFonts w:hint="eastAsia" w:ascii="宋体" w:hAnsi="宋体" w:eastAsia="宋体" w:cs="宋体"/>
                <w:sz w:val="21"/>
                <w:szCs w:val="21"/>
              </w:rPr>
              <w:t>不</w:t>
            </w:r>
            <w:r>
              <w:rPr>
                <w:rFonts w:hint="eastAsia" w:ascii="宋体" w:hAnsi="宋体" w:eastAsia="宋体" w:cs="宋体"/>
                <w:sz w:val="21"/>
                <w:szCs w:val="21"/>
                <w:lang w:eastAsia="zh-CN"/>
              </w:rPr>
              <w:t>应</w:t>
            </w:r>
            <w:r>
              <w:rPr>
                <w:rFonts w:hint="eastAsia" w:ascii="宋体" w:hAnsi="宋体" w:eastAsia="宋体" w:cs="宋体"/>
                <w:sz w:val="21"/>
                <w:szCs w:val="21"/>
              </w:rPr>
              <w:t>大于</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B类</w:t>
            </w:r>
            <w:r>
              <w:rPr>
                <w:rFonts w:hint="eastAsia" w:ascii="宋体" w:hAnsi="宋体" w:eastAsia="宋体" w:cs="宋体"/>
                <w:sz w:val="21"/>
                <w:szCs w:val="21"/>
              </w:rPr>
              <w:t>磨损</w:t>
            </w:r>
            <w:r>
              <w:rPr>
                <w:rFonts w:hint="eastAsia" w:ascii="宋体" w:hAnsi="宋体" w:eastAsia="宋体" w:cs="宋体"/>
                <w:sz w:val="21"/>
                <w:szCs w:val="21"/>
                <w:lang w:val="en-US" w:eastAsia="zh-CN"/>
              </w:rPr>
              <w:t>率</w:t>
            </w:r>
            <w:r>
              <w:rPr>
                <w:rFonts w:hint="eastAsia" w:ascii="宋体" w:hAnsi="宋体" w:eastAsia="宋体" w:cs="宋体"/>
                <w:sz w:val="21"/>
                <w:szCs w:val="21"/>
              </w:rPr>
              <w:t>不</w:t>
            </w:r>
            <w:r>
              <w:rPr>
                <w:rFonts w:hint="eastAsia" w:ascii="宋体" w:hAnsi="宋体" w:eastAsia="宋体" w:cs="宋体"/>
                <w:sz w:val="21"/>
                <w:szCs w:val="21"/>
                <w:lang w:eastAsia="zh-CN"/>
              </w:rPr>
              <w:t>应</w:t>
            </w:r>
            <w:r>
              <w:rPr>
                <w:rFonts w:hint="eastAsia" w:ascii="宋体" w:hAnsi="宋体" w:eastAsia="宋体" w:cs="宋体"/>
                <w:sz w:val="21"/>
                <w:szCs w:val="21"/>
              </w:rPr>
              <w:t>大于</w:t>
            </w:r>
            <w:r>
              <w:rPr>
                <w:rFonts w:hint="eastAsia" w:ascii="宋体" w:hAnsi="宋体" w:eastAsia="宋体" w:cs="宋体"/>
                <w:sz w:val="21"/>
                <w:szCs w:val="21"/>
                <w:lang w:val="en-US" w:eastAsia="zh-CN"/>
              </w:rPr>
              <w:t>1%</w:t>
            </w:r>
            <w:r>
              <w:rPr>
                <w:rFonts w:hint="eastAsia" w:ascii="宋体" w:hAnsi="宋体" w:eastAsia="宋体" w:cs="宋体"/>
                <w:sz w:val="21"/>
                <w:szCs w:val="21"/>
              </w:rPr>
              <w:t>。</w:t>
            </w:r>
          </w:p>
        </w:tc>
        <w:tc>
          <w:tcPr>
            <w:tcW w:w="1657" w:type="pct"/>
            <w:vAlign w:val="center"/>
          </w:tcPr>
          <w:p>
            <w:pPr>
              <w:pStyle w:val="15"/>
              <w:numPr>
                <w:ilvl w:val="0"/>
                <w:numId w:val="0"/>
              </w:numPr>
              <w:spacing w:before="156" w:after="156"/>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轮子磨损</w:t>
            </w:r>
            <w:r>
              <w:rPr>
                <w:rFonts w:hint="eastAsia" w:ascii="宋体" w:hAnsi="宋体" w:eastAsia="宋体" w:cs="宋体"/>
                <w:sz w:val="21"/>
                <w:szCs w:val="21"/>
                <w:lang w:val="en-US" w:eastAsia="zh-CN"/>
              </w:rPr>
              <w:t>率</w:t>
            </w:r>
            <w:r>
              <w:rPr>
                <w:rFonts w:hint="eastAsia" w:ascii="宋体" w:hAnsi="宋体" w:eastAsia="宋体" w:cs="宋体"/>
                <w:sz w:val="21"/>
                <w:szCs w:val="21"/>
              </w:rPr>
              <w:t>要求A类磨损</w:t>
            </w:r>
            <w:r>
              <w:rPr>
                <w:rFonts w:hint="eastAsia" w:ascii="宋体" w:hAnsi="宋体" w:eastAsia="宋体" w:cs="宋体"/>
                <w:sz w:val="21"/>
                <w:szCs w:val="21"/>
                <w:lang w:eastAsia="zh-CN"/>
              </w:rPr>
              <w:t>率</w:t>
            </w:r>
            <w:r>
              <w:rPr>
                <w:rFonts w:hint="eastAsia" w:ascii="宋体" w:hAnsi="宋体" w:eastAsia="宋体" w:cs="宋体"/>
                <w:sz w:val="21"/>
                <w:szCs w:val="21"/>
              </w:rPr>
              <w:t>不</w:t>
            </w:r>
            <w:r>
              <w:rPr>
                <w:rFonts w:hint="eastAsia" w:ascii="宋体" w:hAnsi="宋体" w:eastAsia="宋体" w:cs="宋体"/>
                <w:sz w:val="21"/>
                <w:szCs w:val="21"/>
                <w:lang w:eastAsia="zh-CN"/>
              </w:rPr>
              <w:t>应</w:t>
            </w:r>
            <w:r>
              <w:rPr>
                <w:rFonts w:hint="eastAsia" w:ascii="宋体" w:hAnsi="宋体" w:eastAsia="宋体" w:cs="宋体"/>
                <w:sz w:val="21"/>
                <w:szCs w:val="21"/>
              </w:rPr>
              <w:t>大于</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B类</w:t>
            </w:r>
            <w:r>
              <w:rPr>
                <w:rFonts w:hint="eastAsia" w:ascii="宋体" w:hAnsi="宋体" w:eastAsia="宋体" w:cs="宋体"/>
                <w:sz w:val="21"/>
                <w:szCs w:val="21"/>
              </w:rPr>
              <w:t>磨损</w:t>
            </w:r>
            <w:r>
              <w:rPr>
                <w:rFonts w:hint="eastAsia" w:ascii="宋体" w:hAnsi="宋体" w:eastAsia="宋体" w:cs="宋体"/>
                <w:sz w:val="21"/>
                <w:szCs w:val="21"/>
                <w:lang w:val="en-US" w:eastAsia="zh-CN"/>
              </w:rPr>
              <w:t>率</w:t>
            </w:r>
            <w:r>
              <w:rPr>
                <w:rFonts w:hint="eastAsia" w:ascii="宋体" w:hAnsi="宋体" w:eastAsia="宋体" w:cs="宋体"/>
                <w:sz w:val="21"/>
                <w:szCs w:val="21"/>
              </w:rPr>
              <w:t>不</w:t>
            </w:r>
            <w:r>
              <w:rPr>
                <w:rFonts w:hint="eastAsia" w:ascii="宋体" w:hAnsi="宋体" w:eastAsia="宋体" w:cs="宋体"/>
                <w:sz w:val="21"/>
                <w:szCs w:val="21"/>
                <w:lang w:eastAsia="zh-CN"/>
              </w:rPr>
              <w:t>应</w:t>
            </w:r>
            <w:r>
              <w:rPr>
                <w:rFonts w:hint="eastAsia" w:ascii="宋体" w:hAnsi="宋体" w:eastAsia="宋体" w:cs="宋体"/>
                <w:sz w:val="21"/>
                <w:szCs w:val="21"/>
              </w:rPr>
              <w:t>大于</w:t>
            </w:r>
            <w:r>
              <w:rPr>
                <w:rFonts w:hint="eastAsia" w:ascii="宋体" w:hAnsi="宋体" w:eastAsia="宋体" w:cs="宋体"/>
                <w:sz w:val="21"/>
                <w:szCs w:val="21"/>
                <w:lang w:val="en-US" w:eastAsia="zh-CN"/>
              </w:rPr>
              <w:t>5%</w:t>
            </w:r>
            <w:r>
              <w:rPr>
                <w:rFonts w:hint="eastAsia" w:ascii="宋体" w:hAnsi="宋体" w:eastAsia="宋体" w:cs="宋体"/>
                <w:sz w:val="21"/>
                <w:szCs w:val="21"/>
              </w:rPr>
              <w:t>。</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连接牢固性能</w:t>
            </w:r>
          </w:p>
        </w:tc>
        <w:tc>
          <w:tcPr>
            <w:tcW w:w="1670" w:type="pct"/>
            <w:shd w:val="clear" w:color="auto" w:fill="auto"/>
            <w:vAlign w:val="center"/>
          </w:tcPr>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szCs w:val="22"/>
              </w:rPr>
            </w:pPr>
            <w:r>
              <w:rPr>
                <w:rFonts w:hint="eastAsia" w:ascii="宋体" w:hAnsi="宋体" w:eastAsia="宋体" w:cs="宋体"/>
                <w:szCs w:val="22"/>
                <w:lang w:val="en-US" w:eastAsia="zh-CN"/>
              </w:rPr>
              <w:t>1.</w:t>
            </w:r>
            <w:r>
              <w:rPr>
                <w:rFonts w:hint="eastAsia" w:ascii="宋体" w:hAnsi="宋体" w:eastAsia="宋体" w:cs="宋体"/>
                <w:szCs w:val="22"/>
              </w:rPr>
              <w:t>紧束装置连接牢固试验，A类轮滑鞋施加</w:t>
            </w:r>
            <w:r>
              <w:rPr>
                <w:rFonts w:hint="eastAsia" w:ascii="宋体" w:hAnsi="宋体" w:eastAsia="宋体" w:cs="宋体"/>
                <w:szCs w:val="22"/>
                <w:lang w:val="en-US" w:eastAsia="zh-CN"/>
              </w:rPr>
              <w:t>8</w:t>
            </w:r>
            <w:r>
              <w:rPr>
                <w:rFonts w:hint="eastAsia" w:ascii="宋体" w:hAnsi="宋体" w:eastAsia="宋体" w:cs="宋体"/>
                <w:szCs w:val="22"/>
              </w:rPr>
              <w:t>00N的拉力，B类轮滑鞋施加</w:t>
            </w:r>
            <w:r>
              <w:rPr>
                <w:rFonts w:hint="eastAsia" w:ascii="宋体" w:hAnsi="宋体" w:eastAsia="宋体" w:cs="宋体"/>
                <w:szCs w:val="22"/>
                <w:lang w:val="en-US" w:eastAsia="zh-CN"/>
              </w:rPr>
              <w:t>6</w:t>
            </w:r>
            <w:r>
              <w:rPr>
                <w:rFonts w:hint="eastAsia" w:ascii="宋体" w:hAnsi="宋体" w:eastAsia="宋体" w:cs="宋体"/>
                <w:szCs w:val="22"/>
              </w:rPr>
              <w:t>00N的拉力</w:t>
            </w:r>
            <w:r>
              <w:rPr>
                <w:rFonts w:hint="eastAsia" w:ascii="宋体" w:hAnsi="宋体" w:eastAsia="宋体" w:cs="宋体"/>
                <w:szCs w:val="22"/>
                <w:lang w:val="en-US" w:eastAsia="zh-CN"/>
              </w:rPr>
              <w:t>。</w:t>
            </w:r>
          </w:p>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szCs w:val="22"/>
                <w:lang w:eastAsia="zh-CN"/>
              </w:rPr>
            </w:pPr>
            <w:r>
              <w:rPr>
                <w:rFonts w:hint="eastAsia" w:ascii="宋体" w:hAnsi="宋体" w:eastAsia="宋体" w:cs="宋体"/>
                <w:szCs w:val="22"/>
                <w:lang w:val="en-US" w:eastAsia="zh-CN"/>
              </w:rPr>
              <w:t>2.</w:t>
            </w:r>
            <w:r>
              <w:rPr>
                <w:rFonts w:hint="eastAsia" w:ascii="宋体" w:hAnsi="宋体" w:eastAsia="宋体" w:cs="宋体"/>
                <w:szCs w:val="22"/>
              </w:rPr>
              <w:t>鞋与轮架连接牢固试验，</w:t>
            </w:r>
            <w:r>
              <w:rPr>
                <w:rFonts w:hint="eastAsia" w:ascii="宋体" w:hAnsi="宋体" w:eastAsia="宋体" w:cs="宋体"/>
                <w:szCs w:val="22"/>
                <w:lang w:eastAsia="zh-CN"/>
              </w:rPr>
              <w:t>对</w:t>
            </w:r>
            <w:r>
              <w:rPr>
                <w:rFonts w:hint="eastAsia" w:ascii="宋体" w:hAnsi="宋体" w:eastAsia="宋体" w:cs="宋体"/>
                <w:szCs w:val="22"/>
              </w:rPr>
              <w:t>轮滑鞋施加l</w:t>
            </w:r>
            <w:r>
              <w:rPr>
                <w:rFonts w:hint="eastAsia" w:ascii="宋体" w:hAnsi="宋体" w:eastAsia="宋体" w:cs="宋体"/>
                <w:szCs w:val="22"/>
                <w:lang w:val="en-US" w:eastAsia="zh-CN"/>
              </w:rPr>
              <w:t>2</w:t>
            </w:r>
            <w:r>
              <w:rPr>
                <w:rFonts w:hint="eastAsia" w:ascii="宋体" w:hAnsi="宋体" w:eastAsia="宋体" w:cs="宋体"/>
                <w:szCs w:val="22"/>
              </w:rPr>
              <w:t>00N的拉力。</w:t>
            </w:r>
          </w:p>
        </w:tc>
        <w:tc>
          <w:tcPr>
            <w:tcW w:w="1657" w:type="pct"/>
            <w:vAlign w:val="center"/>
          </w:tcPr>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szCs w:val="22"/>
              </w:rPr>
            </w:pPr>
            <w:r>
              <w:rPr>
                <w:rFonts w:hint="eastAsia" w:ascii="宋体" w:hAnsi="宋体" w:eastAsia="宋体" w:cs="宋体"/>
                <w:szCs w:val="22"/>
                <w:lang w:val="en-US" w:eastAsia="zh-CN"/>
              </w:rPr>
              <w:t>1.</w:t>
            </w:r>
            <w:r>
              <w:rPr>
                <w:rFonts w:hint="eastAsia" w:ascii="宋体" w:hAnsi="宋体" w:eastAsia="宋体" w:cs="宋体"/>
                <w:szCs w:val="22"/>
              </w:rPr>
              <w:t>紧束装置连接牢固试验，A类轮滑鞋施加</w:t>
            </w:r>
            <w:r>
              <w:rPr>
                <w:rFonts w:hint="eastAsia" w:ascii="宋体" w:hAnsi="宋体" w:eastAsia="宋体" w:cs="宋体"/>
                <w:szCs w:val="22"/>
                <w:lang w:val="en-US" w:eastAsia="zh-CN"/>
              </w:rPr>
              <w:t>7</w:t>
            </w:r>
            <w:r>
              <w:rPr>
                <w:rFonts w:hint="eastAsia" w:ascii="宋体" w:hAnsi="宋体" w:eastAsia="宋体" w:cs="宋体"/>
                <w:szCs w:val="22"/>
              </w:rPr>
              <w:t>00N的拉力，B类轮滑鞋施加</w:t>
            </w:r>
            <w:r>
              <w:rPr>
                <w:rFonts w:hint="eastAsia" w:ascii="宋体" w:hAnsi="宋体" w:eastAsia="宋体" w:cs="宋体"/>
                <w:szCs w:val="22"/>
                <w:lang w:val="en-US" w:eastAsia="zh-CN"/>
              </w:rPr>
              <w:t>5</w:t>
            </w:r>
            <w:r>
              <w:rPr>
                <w:rFonts w:hint="eastAsia" w:ascii="宋体" w:hAnsi="宋体" w:eastAsia="宋体" w:cs="宋体"/>
                <w:szCs w:val="22"/>
              </w:rPr>
              <w:t>00N的拉力</w:t>
            </w:r>
            <w:r>
              <w:rPr>
                <w:rFonts w:hint="eastAsia" w:ascii="宋体" w:hAnsi="宋体" w:eastAsia="宋体" w:cs="宋体"/>
                <w:szCs w:val="22"/>
                <w:lang w:val="en-US" w:eastAsia="zh-CN"/>
              </w:rPr>
              <w:t>。</w:t>
            </w:r>
          </w:p>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szCs w:val="22"/>
                <w:lang w:eastAsia="zh-CN"/>
              </w:rPr>
            </w:pPr>
            <w:r>
              <w:rPr>
                <w:rFonts w:hint="eastAsia" w:ascii="宋体" w:hAnsi="宋体" w:eastAsia="宋体" w:cs="宋体"/>
                <w:szCs w:val="22"/>
                <w:lang w:val="en-US" w:eastAsia="zh-CN"/>
              </w:rPr>
              <w:t>2.</w:t>
            </w:r>
            <w:r>
              <w:rPr>
                <w:rFonts w:hint="eastAsia" w:ascii="宋体" w:hAnsi="宋体" w:eastAsia="宋体" w:cs="宋体"/>
                <w:szCs w:val="22"/>
              </w:rPr>
              <w:t>鞋与轮架连接牢固试验，</w:t>
            </w:r>
            <w:r>
              <w:rPr>
                <w:rFonts w:hint="eastAsia" w:ascii="宋体" w:hAnsi="宋体" w:eastAsia="宋体" w:cs="宋体"/>
                <w:szCs w:val="22"/>
                <w:lang w:eastAsia="zh-CN"/>
              </w:rPr>
              <w:t>对</w:t>
            </w:r>
            <w:r>
              <w:rPr>
                <w:rFonts w:hint="eastAsia" w:ascii="宋体" w:hAnsi="宋体" w:eastAsia="宋体" w:cs="宋体"/>
                <w:szCs w:val="22"/>
              </w:rPr>
              <w:t>轮滑鞋施加l</w:t>
            </w:r>
            <w:r>
              <w:rPr>
                <w:rFonts w:hint="eastAsia" w:ascii="宋体" w:hAnsi="宋体" w:eastAsia="宋体" w:cs="宋体"/>
                <w:szCs w:val="22"/>
                <w:lang w:val="en-US" w:eastAsia="zh-CN"/>
              </w:rPr>
              <w:t>0</w:t>
            </w:r>
            <w:r>
              <w:rPr>
                <w:rFonts w:hint="eastAsia" w:ascii="宋体" w:hAnsi="宋体" w:eastAsia="宋体" w:cs="宋体"/>
                <w:szCs w:val="22"/>
              </w:rPr>
              <w:t>00N的拉力。</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优于（性能要求一致，但佛山标准试验严酷度更高）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轮架可靠性能</w:t>
            </w:r>
          </w:p>
        </w:tc>
        <w:tc>
          <w:tcPr>
            <w:tcW w:w="1670" w:type="pct"/>
            <w:shd w:val="clear" w:color="auto" w:fill="auto"/>
            <w:vAlign w:val="center"/>
          </w:tcPr>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szCs w:val="22"/>
              </w:rPr>
            </w:pPr>
            <w:r>
              <w:rPr>
                <w:rFonts w:hint="eastAsia" w:ascii="宋体" w:hAnsi="宋体" w:eastAsia="宋体" w:cs="宋体"/>
                <w:szCs w:val="22"/>
                <w:lang w:val="en-US" w:eastAsia="zh-CN"/>
              </w:rPr>
              <w:t>1.</w:t>
            </w:r>
            <w:r>
              <w:rPr>
                <w:rFonts w:hint="eastAsia" w:ascii="宋体" w:hAnsi="宋体" w:eastAsia="宋体" w:cs="宋体"/>
                <w:szCs w:val="22"/>
              </w:rPr>
              <w:t xml:space="preserve">垂直撞击试验，双排A类 </w:t>
            </w:r>
            <w:r>
              <w:rPr>
                <w:rFonts w:hint="eastAsia" w:ascii="宋体" w:hAnsi="宋体" w:eastAsia="宋体" w:cs="宋体"/>
                <w:szCs w:val="22"/>
                <w:lang w:val="en-US" w:eastAsia="zh-CN"/>
              </w:rPr>
              <w:t>100</w:t>
            </w:r>
            <w:r>
              <w:rPr>
                <w:rFonts w:hint="eastAsia" w:ascii="宋体" w:hAnsi="宋体" w:eastAsia="宋体" w:cs="宋体"/>
                <w:szCs w:val="22"/>
              </w:rPr>
              <w:t>J；双排B类</w:t>
            </w:r>
            <w:r>
              <w:rPr>
                <w:rFonts w:hint="eastAsia" w:ascii="宋体" w:hAnsi="宋体" w:eastAsia="宋体" w:cs="宋体"/>
                <w:szCs w:val="22"/>
                <w:lang w:val="en-US" w:eastAsia="zh-CN"/>
              </w:rPr>
              <w:t>7</w:t>
            </w:r>
            <w:r>
              <w:rPr>
                <w:rFonts w:hint="eastAsia" w:ascii="宋体" w:hAnsi="宋体" w:eastAsia="宋体" w:cs="宋体"/>
                <w:szCs w:val="22"/>
              </w:rPr>
              <w:t>0J；单排 A类</w:t>
            </w:r>
            <w:r>
              <w:rPr>
                <w:rFonts w:hint="eastAsia" w:ascii="宋体" w:hAnsi="宋体" w:eastAsia="宋体" w:cs="宋体"/>
                <w:szCs w:val="22"/>
                <w:lang w:val="en-US" w:eastAsia="zh-CN"/>
              </w:rPr>
              <w:t>145</w:t>
            </w:r>
            <w:r>
              <w:rPr>
                <w:rFonts w:hint="eastAsia" w:ascii="宋体" w:hAnsi="宋体" w:eastAsia="宋体" w:cs="宋体"/>
                <w:szCs w:val="22"/>
              </w:rPr>
              <w:t>J；单排B类</w:t>
            </w:r>
            <w:r>
              <w:rPr>
                <w:rFonts w:hint="eastAsia" w:ascii="宋体" w:hAnsi="宋体" w:eastAsia="宋体" w:cs="宋体"/>
                <w:szCs w:val="22"/>
                <w:lang w:val="en-US" w:eastAsia="zh-CN"/>
              </w:rPr>
              <w:t>100</w:t>
            </w:r>
            <w:r>
              <w:rPr>
                <w:rFonts w:hint="eastAsia" w:ascii="宋体" w:hAnsi="宋体" w:eastAsia="宋体" w:cs="宋体"/>
                <w:szCs w:val="22"/>
              </w:rPr>
              <w:t>J。</w:t>
            </w:r>
            <w:bookmarkStart w:id="3" w:name="_GoBack"/>
            <w:bookmarkEnd w:id="3"/>
          </w:p>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ascii="宋体" w:hAnsi="宋体"/>
                <w:sz w:val="21"/>
                <w:szCs w:val="21"/>
                <w:lang w:eastAsia="zh-CN"/>
              </w:rPr>
            </w:pPr>
            <w:r>
              <w:rPr>
                <w:rFonts w:hint="eastAsia" w:ascii="宋体" w:hAnsi="宋体" w:eastAsia="宋体" w:cs="宋体"/>
                <w:szCs w:val="22"/>
                <w:lang w:val="en-US" w:eastAsia="zh-CN"/>
              </w:rPr>
              <w:t>2.</w:t>
            </w:r>
            <w:r>
              <w:rPr>
                <w:rFonts w:hint="eastAsia" w:ascii="宋体" w:hAnsi="宋体" w:eastAsia="宋体" w:cs="宋体"/>
                <w:szCs w:val="22"/>
              </w:rPr>
              <w:t xml:space="preserve">正面撞击试验，双排A类 </w:t>
            </w:r>
            <w:r>
              <w:rPr>
                <w:rFonts w:hint="eastAsia" w:ascii="宋体" w:hAnsi="宋体" w:eastAsia="宋体" w:cs="宋体"/>
                <w:szCs w:val="22"/>
                <w:lang w:val="en-US" w:eastAsia="zh-CN"/>
              </w:rPr>
              <w:t>100</w:t>
            </w:r>
            <w:r>
              <w:rPr>
                <w:rFonts w:hint="eastAsia" w:ascii="宋体" w:hAnsi="宋体" w:eastAsia="宋体" w:cs="宋体"/>
                <w:szCs w:val="22"/>
              </w:rPr>
              <w:t>J；双排B类</w:t>
            </w:r>
            <w:r>
              <w:rPr>
                <w:rFonts w:hint="eastAsia" w:ascii="宋体" w:hAnsi="宋体" w:eastAsia="宋体" w:cs="宋体"/>
                <w:szCs w:val="22"/>
                <w:lang w:val="en-US" w:eastAsia="zh-CN"/>
              </w:rPr>
              <w:t>7</w:t>
            </w:r>
            <w:r>
              <w:rPr>
                <w:rFonts w:hint="eastAsia" w:ascii="宋体" w:hAnsi="宋体" w:eastAsia="宋体" w:cs="宋体"/>
                <w:szCs w:val="22"/>
              </w:rPr>
              <w:t>0J；单排 A类</w:t>
            </w:r>
            <w:r>
              <w:rPr>
                <w:rFonts w:hint="eastAsia" w:ascii="宋体" w:hAnsi="宋体" w:eastAsia="宋体" w:cs="宋体"/>
                <w:szCs w:val="22"/>
                <w:lang w:val="en-US" w:eastAsia="zh-CN"/>
              </w:rPr>
              <w:t>145</w:t>
            </w:r>
            <w:r>
              <w:rPr>
                <w:rFonts w:hint="eastAsia" w:ascii="宋体" w:hAnsi="宋体" w:eastAsia="宋体" w:cs="宋体"/>
                <w:szCs w:val="22"/>
              </w:rPr>
              <w:t xml:space="preserve">J；单排B类 </w:t>
            </w:r>
            <w:r>
              <w:rPr>
                <w:rFonts w:hint="eastAsia" w:ascii="宋体" w:hAnsi="宋体" w:eastAsia="宋体" w:cs="宋体"/>
                <w:szCs w:val="22"/>
                <w:lang w:val="en-US" w:eastAsia="zh-CN"/>
              </w:rPr>
              <w:t>100</w:t>
            </w:r>
            <w:r>
              <w:rPr>
                <w:rFonts w:hint="eastAsia" w:ascii="宋体" w:hAnsi="宋体" w:eastAsia="宋体" w:cs="宋体"/>
                <w:szCs w:val="22"/>
              </w:rPr>
              <w:t>J。</w:t>
            </w:r>
          </w:p>
        </w:tc>
        <w:tc>
          <w:tcPr>
            <w:tcW w:w="1657" w:type="pct"/>
            <w:vAlign w:val="center"/>
          </w:tcPr>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szCs w:val="22"/>
              </w:rPr>
            </w:pPr>
            <w:r>
              <w:rPr>
                <w:rFonts w:hint="eastAsia" w:ascii="宋体" w:hAnsi="宋体" w:eastAsia="宋体" w:cs="宋体"/>
                <w:szCs w:val="22"/>
                <w:lang w:val="en-US" w:eastAsia="zh-CN"/>
              </w:rPr>
              <w:t>1.</w:t>
            </w:r>
            <w:r>
              <w:rPr>
                <w:rFonts w:hint="eastAsia" w:ascii="宋体" w:hAnsi="宋体" w:eastAsia="宋体" w:cs="宋体"/>
                <w:szCs w:val="22"/>
              </w:rPr>
              <w:t xml:space="preserve">垂直撞击试验，双排A类 </w:t>
            </w:r>
            <w:r>
              <w:rPr>
                <w:rFonts w:hint="eastAsia" w:ascii="宋体" w:hAnsi="宋体" w:eastAsia="宋体" w:cs="宋体"/>
                <w:szCs w:val="22"/>
                <w:lang w:val="en-US" w:eastAsia="zh-CN"/>
              </w:rPr>
              <w:t>90</w:t>
            </w:r>
            <w:r>
              <w:rPr>
                <w:rFonts w:hint="eastAsia" w:ascii="宋体" w:hAnsi="宋体" w:eastAsia="宋体" w:cs="宋体"/>
                <w:szCs w:val="22"/>
              </w:rPr>
              <w:t>J；双排B类</w:t>
            </w:r>
            <w:r>
              <w:rPr>
                <w:rFonts w:hint="eastAsia" w:ascii="宋体" w:hAnsi="宋体" w:eastAsia="宋体" w:cs="宋体"/>
                <w:szCs w:val="22"/>
                <w:lang w:val="en-US" w:eastAsia="zh-CN"/>
              </w:rPr>
              <w:t>6</w:t>
            </w:r>
            <w:r>
              <w:rPr>
                <w:rFonts w:hint="eastAsia" w:ascii="宋体" w:hAnsi="宋体" w:eastAsia="宋体" w:cs="宋体"/>
                <w:szCs w:val="22"/>
              </w:rPr>
              <w:t>0J；单排 A类</w:t>
            </w:r>
            <w:r>
              <w:rPr>
                <w:rFonts w:hint="eastAsia" w:ascii="宋体" w:hAnsi="宋体" w:eastAsia="宋体" w:cs="宋体"/>
                <w:szCs w:val="22"/>
                <w:lang w:val="en-US" w:eastAsia="zh-CN"/>
              </w:rPr>
              <w:t>135</w:t>
            </w:r>
            <w:r>
              <w:rPr>
                <w:rFonts w:hint="eastAsia" w:ascii="宋体" w:hAnsi="宋体" w:eastAsia="宋体" w:cs="宋体"/>
                <w:szCs w:val="22"/>
              </w:rPr>
              <w:t>J；单排B类</w:t>
            </w:r>
            <w:r>
              <w:rPr>
                <w:rFonts w:hint="eastAsia" w:ascii="宋体" w:hAnsi="宋体" w:eastAsia="宋体" w:cs="宋体"/>
                <w:szCs w:val="22"/>
                <w:lang w:val="en-US" w:eastAsia="zh-CN"/>
              </w:rPr>
              <w:t>90</w:t>
            </w:r>
            <w:r>
              <w:rPr>
                <w:rFonts w:hint="eastAsia" w:ascii="宋体" w:hAnsi="宋体" w:eastAsia="宋体" w:cs="宋体"/>
                <w:szCs w:val="22"/>
              </w:rPr>
              <w:t>J。</w:t>
            </w:r>
          </w:p>
          <w:p>
            <w:pPr>
              <w:adjustRightInd w:val="0"/>
              <w:snapToGrid w:val="0"/>
              <w:spacing w:line="240" w:lineRule="atLeast"/>
              <w:jc w:val="both"/>
              <w:rPr>
                <w:rFonts w:hint="eastAsia" w:ascii="宋体" w:hAnsi="宋体" w:cs="宋体"/>
                <w:spacing w:val="20"/>
                <w:sz w:val="21"/>
                <w:szCs w:val="21"/>
                <w:lang w:eastAsia="zh-CN"/>
              </w:rPr>
            </w:pPr>
            <w:r>
              <w:rPr>
                <w:rFonts w:hint="eastAsia" w:ascii="宋体" w:hAnsi="宋体" w:eastAsia="宋体" w:cs="宋体"/>
                <w:szCs w:val="22"/>
                <w:lang w:val="en-US" w:eastAsia="zh-CN"/>
              </w:rPr>
              <w:t>2.</w:t>
            </w:r>
            <w:r>
              <w:rPr>
                <w:rFonts w:hint="eastAsia" w:ascii="宋体" w:hAnsi="宋体" w:eastAsia="宋体" w:cs="宋体"/>
                <w:szCs w:val="22"/>
              </w:rPr>
              <w:t>正面撞击试验，双排A类</w:t>
            </w:r>
            <w:r>
              <w:rPr>
                <w:rFonts w:hint="eastAsia" w:ascii="宋体" w:hAnsi="宋体" w:eastAsia="宋体" w:cs="宋体"/>
                <w:szCs w:val="22"/>
                <w:lang w:val="en-US" w:eastAsia="zh-CN"/>
              </w:rPr>
              <w:t>90</w:t>
            </w:r>
            <w:r>
              <w:rPr>
                <w:rFonts w:hint="eastAsia" w:ascii="宋体" w:hAnsi="宋体" w:eastAsia="宋体" w:cs="宋体"/>
                <w:szCs w:val="22"/>
              </w:rPr>
              <w:t>J；双排B类</w:t>
            </w:r>
            <w:r>
              <w:rPr>
                <w:rFonts w:hint="eastAsia" w:ascii="宋体" w:hAnsi="宋体" w:eastAsia="宋体" w:cs="宋体"/>
                <w:szCs w:val="22"/>
                <w:lang w:val="en-US" w:eastAsia="zh-CN"/>
              </w:rPr>
              <w:t>6</w:t>
            </w:r>
            <w:r>
              <w:rPr>
                <w:rFonts w:hint="eastAsia" w:ascii="宋体" w:hAnsi="宋体" w:eastAsia="宋体" w:cs="宋体"/>
                <w:szCs w:val="22"/>
              </w:rPr>
              <w:t>0J；单排 A类</w:t>
            </w:r>
            <w:r>
              <w:rPr>
                <w:rFonts w:hint="eastAsia" w:ascii="宋体" w:hAnsi="宋体" w:eastAsia="宋体" w:cs="宋体"/>
                <w:szCs w:val="22"/>
                <w:lang w:val="en-US" w:eastAsia="zh-CN"/>
              </w:rPr>
              <w:t>135</w:t>
            </w:r>
            <w:r>
              <w:rPr>
                <w:rFonts w:hint="eastAsia" w:ascii="宋体" w:hAnsi="宋体" w:eastAsia="宋体" w:cs="宋体"/>
                <w:szCs w:val="22"/>
              </w:rPr>
              <w:t xml:space="preserve">J；单排B类 </w:t>
            </w:r>
            <w:r>
              <w:rPr>
                <w:rFonts w:hint="eastAsia" w:ascii="宋体" w:hAnsi="宋体" w:eastAsia="宋体" w:cs="宋体"/>
                <w:szCs w:val="22"/>
                <w:lang w:val="en-US" w:eastAsia="zh-CN"/>
              </w:rPr>
              <w:t>90</w:t>
            </w:r>
            <w:r>
              <w:rPr>
                <w:rFonts w:hint="eastAsia" w:ascii="宋体" w:hAnsi="宋体" w:eastAsia="宋体" w:cs="宋体"/>
                <w:szCs w:val="22"/>
              </w:rPr>
              <w:t>J。</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优于（性能要求一致，但佛山标准试验严酷度更高）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轮子摩擦系数</w:t>
            </w:r>
          </w:p>
        </w:tc>
        <w:tc>
          <w:tcPr>
            <w:tcW w:w="1670" w:type="pct"/>
            <w:shd w:val="clear" w:color="auto" w:fill="auto"/>
            <w:vAlign w:val="center"/>
          </w:tcPr>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szCs w:val="22"/>
                <w:lang w:eastAsia="zh-CN"/>
              </w:rPr>
            </w:pPr>
            <w:r>
              <w:rPr>
                <w:rFonts w:hint="eastAsia" w:ascii="宋体" w:hAnsi="宋体" w:eastAsia="宋体" w:cs="宋体"/>
                <w:szCs w:val="22"/>
              </w:rPr>
              <w:t>双排A类不小于0.3</w:t>
            </w:r>
            <w:r>
              <w:rPr>
                <w:rFonts w:hint="eastAsia" w:ascii="宋体" w:hAnsi="宋体" w:eastAsia="宋体" w:cs="宋体"/>
                <w:szCs w:val="22"/>
                <w:lang w:val="en-US" w:eastAsia="zh-CN"/>
              </w:rPr>
              <w:t>5</w:t>
            </w:r>
            <w:r>
              <w:rPr>
                <w:rFonts w:hint="eastAsia" w:ascii="宋体" w:hAnsi="宋体" w:eastAsia="宋体" w:cs="宋体"/>
                <w:szCs w:val="22"/>
              </w:rPr>
              <w:t>，双排B类不小于0.2</w:t>
            </w:r>
            <w:r>
              <w:rPr>
                <w:rFonts w:hint="eastAsia" w:ascii="宋体" w:hAnsi="宋体" w:eastAsia="宋体" w:cs="宋体"/>
                <w:szCs w:val="22"/>
                <w:lang w:val="en-US" w:eastAsia="zh-CN"/>
              </w:rPr>
              <w:t>5</w:t>
            </w:r>
            <w:r>
              <w:rPr>
                <w:rFonts w:hint="eastAsia" w:ascii="宋体" w:hAnsi="宋体" w:eastAsia="宋体" w:cs="宋体"/>
                <w:szCs w:val="22"/>
              </w:rPr>
              <w:t>，单排不小于0.3</w:t>
            </w:r>
            <w:r>
              <w:rPr>
                <w:rFonts w:hint="eastAsia" w:ascii="宋体" w:hAnsi="宋体" w:eastAsia="宋体" w:cs="宋体"/>
                <w:szCs w:val="22"/>
                <w:lang w:val="en-US" w:eastAsia="zh-CN"/>
              </w:rPr>
              <w:t>5</w:t>
            </w:r>
            <w:r>
              <w:rPr>
                <w:rFonts w:hint="eastAsia" w:ascii="宋体" w:hAnsi="宋体" w:eastAsia="宋体" w:cs="宋体"/>
                <w:szCs w:val="22"/>
              </w:rPr>
              <w:t>。</w:t>
            </w:r>
          </w:p>
        </w:tc>
        <w:tc>
          <w:tcPr>
            <w:tcW w:w="1657" w:type="pct"/>
            <w:vAlign w:val="center"/>
          </w:tcPr>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szCs w:val="22"/>
                <w:lang w:eastAsia="zh-CN"/>
              </w:rPr>
            </w:pPr>
            <w:r>
              <w:rPr>
                <w:rFonts w:hint="eastAsia" w:ascii="宋体" w:hAnsi="宋体" w:eastAsia="宋体" w:cs="宋体"/>
                <w:szCs w:val="22"/>
              </w:rPr>
              <w:t>双排A类不小于0.3</w:t>
            </w:r>
            <w:r>
              <w:rPr>
                <w:rFonts w:hint="eastAsia" w:ascii="宋体" w:hAnsi="宋体" w:eastAsia="宋体" w:cs="宋体"/>
                <w:szCs w:val="22"/>
                <w:lang w:val="en-US" w:eastAsia="zh-CN"/>
              </w:rPr>
              <w:t>0</w:t>
            </w:r>
            <w:r>
              <w:rPr>
                <w:rFonts w:hint="eastAsia" w:ascii="宋体" w:hAnsi="宋体" w:eastAsia="宋体" w:cs="宋体"/>
                <w:szCs w:val="22"/>
              </w:rPr>
              <w:t>，双排B类不小于0.2</w:t>
            </w:r>
            <w:r>
              <w:rPr>
                <w:rFonts w:hint="eastAsia" w:ascii="宋体" w:hAnsi="宋体" w:eastAsia="宋体" w:cs="宋体"/>
                <w:szCs w:val="22"/>
                <w:lang w:val="en-US" w:eastAsia="zh-CN"/>
              </w:rPr>
              <w:t>0</w:t>
            </w:r>
            <w:r>
              <w:rPr>
                <w:rFonts w:hint="eastAsia" w:ascii="宋体" w:hAnsi="宋体" w:eastAsia="宋体" w:cs="宋体"/>
                <w:szCs w:val="22"/>
              </w:rPr>
              <w:t>，单排不小于0.3</w:t>
            </w:r>
            <w:r>
              <w:rPr>
                <w:rFonts w:hint="eastAsia" w:ascii="宋体" w:hAnsi="宋体" w:eastAsia="宋体" w:cs="宋体"/>
                <w:szCs w:val="22"/>
                <w:lang w:val="en-US" w:eastAsia="zh-CN"/>
              </w:rPr>
              <w:t>0</w:t>
            </w:r>
            <w:r>
              <w:rPr>
                <w:rFonts w:hint="eastAsia" w:ascii="宋体" w:hAnsi="宋体" w:eastAsia="宋体" w:cs="宋体"/>
                <w:szCs w:val="22"/>
              </w:rPr>
              <w:t>。</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耐久性能</w:t>
            </w:r>
          </w:p>
        </w:tc>
        <w:tc>
          <w:tcPr>
            <w:tcW w:w="1670" w:type="pct"/>
            <w:shd w:val="clear" w:color="auto" w:fill="auto"/>
            <w:vAlign w:val="center"/>
          </w:tcPr>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szCs w:val="22"/>
                <w:lang w:eastAsia="zh-CN"/>
              </w:rPr>
            </w:pPr>
            <w:r>
              <w:rPr>
                <w:rFonts w:hint="eastAsia" w:ascii="宋体" w:hAnsi="宋体" w:eastAsia="宋体" w:cs="宋体"/>
                <w:szCs w:val="22"/>
              </w:rPr>
              <w:t>加载物质量：A类为</w:t>
            </w:r>
            <w:r>
              <w:rPr>
                <w:rFonts w:hint="eastAsia" w:ascii="宋体" w:hAnsi="宋体" w:eastAsia="宋体" w:cs="宋体"/>
                <w:szCs w:val="22"/>
                <w:lang w:val="en-US" w:eastAsia="zh-CN"/>
              </w:rPr>
              <w:t>70</w:t>
            </w:r>
            <w:r>
              <w:rPr>
                <w:rFonts w:hint="eastAsia" w:ascii="宋体" w:hAnsi="宋体" w:eastAsia="宋体" w:cs="宋体"/>
                <w:szCs w:val="22"/>
              </w:rPr>
              <w:t>kg、B类为</w:t>
            </w:r>
            <w:r>
              <w:rPr>
                <w:rFonts w:hint="eastAsia" w:ascii="宋体" w:hAnsi="宋体" w:eastAsia="宋体" w:cs="宋体"/>
                <w:szCs w:val="22"/>
                <w:lang w:val="en-US" w:eastAsia="zh-CN"/>
              </w:rPr>
              <w:t>50</w:t>
            </w:r>
            <w:r>
              <w:rPr>
                <w:rFonts w:hint="eastAsia" w:ascii="宋体" w:hAnsi="宋体" w:eastAsia="宋体" w:cs="宋体"/>
                <w:szCs w:val="22"/>
              </w:rPr>
              <w:t xml:space="preserve"> kg。</w:t>
            </w:r>
          </w:p>
        </w:tc>
        <w:tc>
          <w:tcPr>
            <w:tcW w:w="1657" w:type="pct"/>
            <w:vAlign w:val="center"/>
          </w:tcPr>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szCs w:val="22"/>
                <w:lang w:eastAsia="zh-CN"/>
              </w:rPr>
            </w:pPr>
            <w:r>
              <w:rPr>
                <w:rFonts w:hint="eastAsia" w:ascii="宋体" w:hAnsi="宋体" w:eastAsia="宋体" w:cs="宋体"/>
                <w:szCs w:val="22"/>
              </w:rPr>
              <w:t>加载物质量：A类为</w:t>
            </w:r>
            <w:r>
              <w:rPr>
                <w:rFonts w:hint="eastAsia" w:ascii="宋体" w:hAnsi="宋体" w:eastAsia="宋体" w:cs="宋体"/>
                <w:szCs w:val="22"/>
                <w:lang w:val="en-US" w:eastAsia="zh-CN"/>
              </w:rPr>
              <w:t>60</w:t>
            </w:r>
            <w:r>
              <w:rPr>
                <w:rFonts w:hint="eastAsia" w:ascii="宋体" w:hAnsi="宋体" w:eastAsia="宋体" w:cs="宋体"/>
                <w:szCs w:val="22"/>
              </w:rPr>
              <w:t>kg、B类为</w:t>
            </w:r>
            <w:r>
              <w:rPr>
                <w:rFonts w:hint="eastAsia" w:ascii="宋体" w:hAnsi="宋体" w:eastAsia="宋体" w:cs="宋体"/>
                <w:szCs w:val="22"/>
                <w:lang w:val="en-US" w:eastAsia="zh-CN"/>
              </w:rPr>
              <w:t>40</w:t>
            </w:r>
            <w:r>
              <w:rPr>
                <w:rFonts w:hint="eastAsia" w:ascii="宋体" w:hAnsi="宋体" w:eastAsia="宋体" w:cs="宋体"/>
                <w:szCs w:val="22"/>
              </w:rPr>
              <w:t xml:space="preserve"> kg。</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宋体"/>
                <w:sz w:val="21"/>
                <w:szCs w:val="21"/>
                <w:lang w:eastAsia="zh-CN"/>
              </w:rPr>
              <w:t>优于（性能要求一致，但佛山标准试验严酷度更高）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90" w:hRule="atLeast"/>
          <w:jc w:val="center"/>
        </w:trPr>
        <w:tc>
          <w:tcPr>
            <w:tcW w:w="426" w:type="pct"/>
            <w:vMerge w:val="continue"/>
            <w:shd w:val="clear" w:color="auto" w:fill="auto"/>
            <w:vAlign w:val="center"/>
          </w:tcPr>
          <w:p>
            <w:pPr>
              <w:jc w:val="center"/>
              <w:rPr>
                <w:rFonts w:hint="eastAsia" w:ascii="宋体" w:hAnsi="宋体" w:cs="宋体"/>
                <w:spacing w:val="20"/>
                <w:sz w:val="21"/>
                <w:szCs w:val="21"/>
                <w:lang w:eastAsia="zh-CN"/>
              </w:rPr>
            </w:pPr>
          </w:p>
        </w:tc>
        <w:tc>
          <w:tcPr>
            <w:tcW w:w="574" w:type="pct"/>
            <w:shd w:val="clear" w:color="auto" w:fill="auto"/>
            <w:vAlign w:val="center"/>
          </w:tcPr>
          <w:p>
            <w:pPr>
              <w:widowControl/>
              <w:autoSpaceDE/>
              <w:autoSpaceDN/>
              <w:adjustRightInd w:val="0"/>
              <w:snapToGrid w:val="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制动器可靠性能</w:t>
            </w:r>
          </w:p>
        </w:tc>
        <w:tc>
          <w:tcPr>
            <w:tcW w:w="1670" w:type="pct"/>
            <w:shd w:val="clear" w:color="auto" w:fill="auto"/>
            <w:vAlign w:val="center"/>
          </w:tcPr>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szCs w:val="22"/>
                <w:lang w:eastAsia="zh-CN"/>
              </w:rPr>
            </w:pPr>
            <w:r>
              <w:rPr>
                <w:rFonts w:hint="eastAsia" w:ascii="宋体" w:hAnsi="宋体" w:eastAsia="宋体" w:cs="宋体"/>
                <w:szCs w:val="22"/>
              </w:rPr>
              <w:t>撞击能量与速度：双排A类</w:t>
            </w:r>
            <w:r>
              <w:rPr>
                <w:rFonts w:hint="eastAsia" w:ascii="宋体" w:hAnsi="宋体" w:eastAsia="宋体" w:cs="宋体"/>
                <w:szCs w:val="22"/>
                <w:lang w:val="en-US" w:eastAsia="zh-CN"/>
              </w:rPr>
              <w:t>100</w:t>
            </w:r>
            <w:r>
              <w:rPr>
                <w:rFonts w:hint="eastAsia" w:ascii="宋体" w:hAnsi="宋体" w:eastAsia="宋体" w:cs="宋体"/>
                <w:szCs w:val="22"/>
              </w:rPr>
              <w:t>J</w:t>
            </w:r>
            <w:r>
              <w:rPr>
                <w:rFonts w:hint="eastAsia" w:ascii="宋体" w:hAnsi="宋体" w:eastAsia="宋体" w:cs="宋体"/>
                <w:szCs w:val="22"/>
                <w:lang w:eastAsia="zh-CN"/>
              </w:rPr>
              <w:t>，</w:t>
            </w:r>
            <w:r>
              <w:rPr>
                <w:rFonts w:hint="eastAsia" w:ascii="宋体" w:hAnsi="宋体" w:eastAsia="宋体" w:cs="宋体"/>
                <w:szCs w:val="22"/>
              </w:rPr>
              <w:t>双排B类</w:t>
            </w:r>
            <w:r>
              <w:rPr>
                <w:rFonts w:hint="eastAsia" w:ascii="宋体" w:hAnsi="宋体" w:eastAsia="宋体" w:cs="宋体"/>
                <w:szCs w:val="22"/>
                <w:lang w:val="en-US" w:eastAsia="zh-CN"/>
              </w:rPr>
              <w:t>70</w:t>
            </w:r>
            <w:r>
              <w:rPr>
                <w:rFonts w:hint="eastAsia" w:ascii="宋体" w:hAnsi="宋体" w:eastAsia="宋体" w:cs="宋体"/>
                <w:szCs w:val="22"/>
              </w:rPr>
              <w:t>J；单排A类</w:t>
            </w:r>
            <w:r>
              <w:rPr>
                <w:rFonts w:hint="eastAsia" w:ascii="宋体" w:hAnsi="宋体" w:eastAsia="宋体" w:cs="宋体"/>
                <w:szCs w:val="22"/>
                <w:lang w:val="en-US" w:eastAsia="zh-CN"/>
              </w:rPr>
              <w:t>60</w:t>
            </w:r>
            <w:r>
              <w:rPr>
                <w:rFonts w:hint="eastAsia" w:ascii="宋体" w:hAnsi="宋体" w:eastAsia="宋体" w:cs="宋体"/>
                <w:szCs w:val="22"/>
              </w:rPr>
              <w:t>J</w:t>
            </w:r>
            <w:r>
              <w:rPr>
                <w:rFonts w:hint="eastAsia" w:ascii="宋体" w:hAnsi="宋体" w:eastAsia="宋体" w:cs="宋体"/>
                <w:szCs w:val="22"/>
                <w:lang w:eastAsia="zh-CN"/>
              </w:rPr>
              <w:t>，</w:t>
            </w:r>
            <w:r>
              <w:rPr>
                <w:rFonts w:hint="eastAsia" w:ascii="宋体" w:hAnsi="宋体" w:eastAsia="宋体" w:cs="宋体"/>
                <w:szCs w:val="22"/>
              </w:rPr>
              <w:t>单排B类</w:t>
            </w:r>
            <w:r>
              <w:rPr>
                <w:rFonts w:hint="eastAsia" w:ascii="宋体" w:hAnsi="宋体" w:eastAsia="宋体" w:cs="宋体"/>
                <w:szCs w:val="22"/>
                <w:lang w:val="en-US" w:eastAsia="zh-CN"/>
              </w:rPr>
              <w:t>40</w:t>
            </w:r>
            <w:r>
              <w:rPr>
                <w:rFonts w:hint="eastAsia" w:ascii="宋体" w:hAnsi="宋体" w:eastAsia="宋体" w:cs="宋体"/>
                <w:szCs w:val="22"/>
              </w:rPr>
              <w:t>J</w:t>
            </w:r>
          </w:p>
        </w:tc>
        <w:tc>
          <w:tcPr>
            <w:tcW w:w="1657" w:type="pct"/>
            <w:vAlign w:val="center"/>
          </w:tcPr>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szCs w:val="22"/>
                <w:lang w:eastAsia="zh-CN"/>
              </w:rPr>
            </w:pPr>
            <w:r>
              <w:rPr>
                <w:rFonts w:hint="eastAsia" w:ascii="宋体" w:hAnsi="宋体" w:eastAsia="宋体" w:cs="宋体"/>
                <w:szCs w:val="22"/>
              </w:rPr>
              <w:t>撞击能量与速度：双排A类</w:t>
            </w:r>
            <w:r>
              <w:rPr>
                <w:rFonts w:hint="eastAsia" w:ascii="宋体" w:hAnsi="宋体" w:eastAsia="宋体" w:cs="宋体"/>
                <w:szCs w:val="22"/>
                <w:lang w:val="en-US" w:eastAsia="zh-CN"/>
              </w:rPr>
              <w:t>90</w:t>
            </w:r>
            <w:r>
              <w:rPr>
                <w:rFonts w:hint="eastAsia" w:ascii="宋体" w:hAnsi="宋体" w:eastAsia="宋体" w:cs="宋体"/>
                <w:szCs w:val="22"/>
              </w:rPr>
              <w:t>J</w:t>
            </w:r>
            <w:r>
              <w:rPr>
                <w:rFonts w:hint="eastAsia" w:ascii="宋体" w:hAnsi="宋体" w:eastAsia="宋体" w:cs="宋体"/>
                <w:szCs w:val="22"/>
                <w:lang w:eastAsia="zh-CN"/>
              </w:rPr>
              <w:t>，</w:t>
            </w:r>
            <w:r>
              <w:rPr>
                <w:rFonts w:hint="eastAsia" w:ascii="宋体" w:hAnsi="宋体" w:eastAsia="宋体" w:cs="宋体"/>
                <w:szCs w:val="22"/>
              </w:rPr>
              <w:t>双排B类</w:t>
            </w:r>
            <w:r>
              <w:rPr>
                <w:rFonts w:hint="eastAsia" w:ascii="宋体" w:hAnsi="宋体" w:eastAsia="宋体" w:cs="宋体"/>
                <w:szCs w:val="22"/>
                <w:lang w:val="en-US" w:eastAsia="zh-CN"/>
              </w:rPr>
              <w:t>60</w:t>
            </w:r>
            <w:r>
              <w:rPr>
                <w:rFonts w:hint="eastAsia" w:ascii="宋体" w:hAnsi="宋体" w:eastAsia="宋体" w:cs="宋体"/>
                <w:szCs w:val="22"/>
              </w:rPr>
              <w:t>J；单排A类</w:t>
            </w:r>
            <w:r>
              <w:rPr>
                <w:rFonts w:hint="eastAsia" w:ascii="宋体" w:hAnsi="宋体" w:eastAsia="宋体" w:cs="宋体"/>
                <w:szCs w:val="22"/>
                <w:lang w:val="en-US" w:eastAsia="zh-CN"/>
              </w:rPr>
              <w:t>50</w:t>
            </w:r>
            <w:r>
              <w:rPr>
                <w:rFonts w:hint="eastAsia" w:ascii="宋体" w:hAnsi="宋体" w:eastAsia="宋体" w:cs="宋体"/>
                <w:szCs w:val="22"/>
              </w:rPr>
              <w:t>J</w:t>
            </w:r>
            <w:r>
              <w:rPr>
                <w:rFonts w:hint="eastAsia" w:ascii="宋体" w:hAnsi="宋体" w:eastAsia="宋体" w:cs="宋体"/>
                <w:szCs w:val="22"/>
                <w:lang w:eastAsia="zh-CN"/>
              </w:rPr>
              <w:t>，</w:t>
            </w:r>
            <w:r>
              <w:rPr>
                <w:rFonts w:hint="eastAsia" w:ascii="宋体" w:hAnsi="宋体" w:eastAsia="宋体" w:cs="宋体"/>
                <w:szCs w:val="22"/>
              </w:rPr>
              <w:t>单排B类</w:t>
            </w:r>
            <w:r>
              <w:rPr>
                <w:rFonts w:hint="eastAsia" w:ascii="宋体" w:hAnsi="宋体" w:eastAsia="宋体" w:cs="宋体"/>
                <w:szCs w:val="22"/>
                <w:lang w:val="en-US" w:eastAsia="zh-CN"/>
              </w:rPr>
              <w:t>30</w:t>
            </w:r>
            <w:r>
              <w:rPr>
                <w:rFonts w:hint="eastAsia" w:ascii="宋体" w:hAnsi="宋体" w:eastAsia="宋体" w:cs="宋体"/>
                <w:szCs w:val="22"/>
              </w:rPr>
              <w:t>J</w:t>
            </w:r>
          </w:p>
        </w:tc>
        <w:tc>
          <w:tcPr>
            <w:tcW w:w="671" w:type="pct"/>
            <w:shd w:val="clear" w:color="auto" w:fill="auto"/>
            <w:vAlign w:val="center"/>
          </w:tcPr>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szCs w:val="22"/>
                <w:lang w:val="en-US" w:eastAsia="zh-CN"/>
              </w:rPr>
            </w:pPr>
            <w:r>
              <w:rPr>
                <w:rFonts w:hint="eastAsia" w:ascii="宋体" w:hAnsi="宋体" w:eastAsia="宋体" w:cs="宋体"/>
                <w:szCs w:val="22"/>
                <w:lang w:eastAsia="zh-CN"/>
              </w:rPr>
              <w:t>优于（性能要求一致，但佛山标准试验严酷度更高）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26" w:type="pct"/>
            <w:shd w:val="clear" w:color="auto" w:fill="auto"/>
            <w:vAlign w:val="center"/>
          </w:tcPr>
          <w:p>
            <w:pPr>
              <w:jc w:val="center"/>
              <w:rPr>
                <w:rFonts w:hint="eastAsia"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创新指标</w:t>
            </w:r>
          </w:p>
        </w:tc>
        <w:tc>
          <w:tcPr>
            <w:tcW w:w="574" w:type="pct"/>
            <w:shd w:val="clear" w:color="auto" w:fill="auto"/>
            <w:vAlign w:val="center"/>
          </w:tcPr>
          <w:p>
            <w:pPr>
              <w:pStyle w:val="16"/>
              <w:numPr>
                <w:ilvl w:val="1"/>
                <w:numId w:val="0"/>
              </w:numPr>
              <w:ind w:leftChars="0"/>
              <w:outlineLvl w:val="3"/>
              <w:rPr>
                <w:rFonts w:hint="default" w:ascii="宋体" w:hAnsi="宋体" w:eastAsia="宋体" w:cs="Times New Roman"/>
                <w:color w:val="auto"/>
                <w:sz w:val="21"/>
                <w:szCs w:val="21"/>
                <w:lang w:val="en-US" w:eastAsia="zh-CN" w:bidi="ar-SA"/>
              </w:rPr>
            </w:pPr>
            <w:r>
              <w:rPr>
                <w:rFonts w:hint="default" w:ascii="宋体" w:hAnsi="宋体" w:eastAsia="宋体" w:cs="Times New Roman"/>
                <w:color w:val="auto"/>
                <w:sz w:val="21"/>
                <w:szCs w:val="21"/>
                <w:lang w:val="en-US" w:eastAsia="zh-CN" w:bidi="ar-SA"/>
              </w:rPr>
              <w:t>原材料及零部件</w:t>
            </w:r>
          </w:p>
          <w:p>
            <w:pPr>
              <w:widowControl/>
              <w:autoSpaceDE/>
              <w:autoSpaceDN/>
              <w:adjustRightInd w:val="0"/>
              <w:snapToGrid w:val="0"/>
              <w:jc w:val="center"/>
              <w:rPr>
                <w:rFonts w:hint="eastAsia" w:ascii="宋体" w:hAnsi="宋体" w:eastAsia="宋体" w:cs="Times New Roman"/>
                <w:color w:val="auto"/>
                <w:sz w:val="21"/>
                <w:szCs w:val="21"/>
                <w:lang w:val="en-US" w:eastAsia="zh-CN" w:bidi="ar-SA"/>
              </w:rPr>
            </w:pPr>
          </w:p>
        </w:tc>
        <w:tc>
          <w:tcPr>
            <w:tcW w:w="1670" w:type="pct"/>
            <w:shd w:val="clear" w:color="auto" w:fill="auto"/>
            <w:vAlign w:val="center"/>
          </w:tcPr>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210" w:firstLineChars="100"/>
              <w:textAlignment w:val="auto"/>
              <w:rPr>
                <w:rFonts w:hint="default" w:ascii="宋体" w:eastAsia="宋体"/>
                <w:color w:val="auto"/>
                <w:szCs w:val="22"/>
                <w:highlight w:val="none"/>
                <w:lang w:val="en-US" w:eastAsia="zh-CN"/>
              </w:rPr>
            </w:pPr>
            <w:r>
              <w:rPr>
                <w:rFonts w:hint="eastAsia" w:ascii="宋体" w:eastAsia="宋体"/>
                <w:color w:val="auto"/>
                <w:szCs w:val="22"/>
                <w:highlight w:val="none"/>
                <w:lang w:val="en-US" w:eastAsia="zh-CN"/>
              </w:rPr>
              <w:t>鞋壳</w:t>
            </w:r>
            <w:r>
              <w:rPr>
                <w:rFonts w:hint="default" w:ascii="宋体" w:eastAsia="宋体"/>
                <w:color w:val="auto"/>
                <w:szCs w:val="22"/>
                <w:highlight w:val="none"/>
                <w:lang w:val="en-US" w:eastAsia="zh-CN"/>
              </w:rPr>
              <w:t>及运动受力的</w:t>
            </w:r>
            <w:r>
              <w:rPr>
                <w:rFonts w:hint="eastAsia" w:ascii="宋体" w:eastAsia="宋体"/>
                <w:color w:val="auto"/>
                <w:szCs w:val="22"/>
                <w:highlight w:val="none"/>
                <w:lang w:val="en-US" w:eastAsia="zh-CN"/>
              </w:rPr>
              <w:t>塑胶轮架</w:t>
            </w:r>
            <w:r>
              <w:rPr>
                <w:rFonts w:hint="default" w:ascii="宋体" w:eastAsia="宋体"/>
                <w:color w:val="auto"/>
                <w:szCs w:val="22"/>
                <w:highlight w:val="none"/>
                <w:lang w:val="en-US" w:eastAsia="zh-CN"/>
              </w:rPr>
              <w:t>使用的塑料材料应采用相对密度大于或等于</w:t>
            </w:r>
            <w:r>
              <w:rPr>
                <w:rFonts w:hint="eastAsia" w:ascii="宋体" w:eastAsia="宋体"/>
                <w:color w:val="auto"/>
                <w:szCs w:val="22"/>
                <w:highlight w:val="none"/>
                <w:lang w:val="en-US" w:eastAsia="zh-CN"/>
              </w:rPr>
              <w:t>0.90</w:t>
            </w:r>
            <w:r>
              <w:rPr>
                <w:rFonts w:hint="default" w:ascii="宋体" w:eastAsia="宋体"/>
                <w:color w:val="auto"/>
                <w:szCs w:val="22"/>
                <w:highlight w:val="none"/>
                <w:lang w:val="en-US" w:eastAsia="zh-CN"/>
              </w:rPr>
              <w:t xml:space="preserve">的聚丙烯（PP）材料或性能优于的类似材料。 </w:t>
            </w:r>
          </w:p>
          <w:p>
            <w:pPr>
              <w:pStyle w:val="13"/>
              <w:rPr>
                <w:rFonts w:hint="default" w:ascii="宋体" w:eastAsia="宋体"/>
                <w:color w:val="auto"/>
                <w:szCs w:val="22"/>
                <w:highlight w:val="none"/>
                <w:lang w:val="en-US" w:eastAsia="zh-CN"/>
              </w:rPr>
            </w:pPr>
            <w:r>
              <w:rPr>
                <w:rFonts w:hint="eastAsia" w:ascii="宋体" w:eastAsia="宋体"/>
                <w:color w:val="auto"/>
                <w:szCs w:val="22"/>
                <w:highlight w:val="none"/>
                <w:lang w:val="en-US" w:eastAsia="zh-CN"/>
              </w:rPr>
              <w:t>金属</w:t>
            </w:r>
            <w:r>
              <w:rPr>
                <w:rFonts w:hint="default" w:ascii="宋体" w:eastAsia="宋体"/>
                <w:color w:val="auto"/>
                <w:szCs w:val="22"/>
                <w:highlight w:val="none"/>
                <w:lang w:val="en-US" w:eastAsia="zh-CN"/>
              </w:rPr>
              <w:t>轮架应采用符合 GB/T 6892 规定的 6063 牌号高强度铝合金材料或力学性能不低于 6063 牌号的金属材料。</w:t>
            </w:r>
          </w:p>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宋体" w:eastAsia="宋体"/>
                <w:color w:val="auto"/>
                <w:szCs w:val="22"/>
                <w:highlight w:val="none"/>
                <w:lang w:val="en-US" w:eastAsia="zh-CN"/>
              </w:rPr>
            </w:pPr>
            <w:r>
              <w:rPr>
                <w:rFonts w:hint="default" w:ascii="宋体" w:eastAsia="宋体"/>
                <w:color w:val="auto"/>
                <w:szCs w:val="22"/>
                <w:highlight w:val="none"/>
                <w:lang w:val="en-US" w:eastAsia="zh-CN"/>
              </w:rPr>
              <w:t>轴承应符合 JB/T 8570 的要求。</w:t>
            </w:r>
          </w:p>
          <w:p>
            <w:pPr>
              <w:pStyle w:val="1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宋体" w:hAnsi="宋体" w:eastAsia="宋体" w:cs="Times New Roman"/>
                <w:color w:val="auto"/>
                <w:sz w:val="21"/>
                <w:szCs w:val="21"/>
                <w:lang w:val="en-US" w:eastAsia="zh-CN" w:bidi="ar-SA"/>
              </w:rPr>
            </w:pPr>
            <w:r>
              <w:rPr>
                <w:rFonts w:hint="default" w:ascii="宋体" w:eastAsia="宋体"/>
                <w:color w:val="auto"/>
                <w:szCs w:val="22"/>
                <w:highlight w:val="none"/>
                <w:lang w:val="en-US" w:eastAsia="zh-CN"/>
              </w:rPr>
              <w:t>粘扣带应符合 GB/T 23315表 1 中的普通型要求。</w:t>
            </w:r>
          </w:p>
        </w:tc>
        <w:tc>
          <w:tcPr>
            <w:tcW w:w="1657" w:type="pct"/>
            <w:vAlign w:val="center"/>
          </w:tcPr>
          <w:p>
            <w:pPr>
              <w:adjustRightInd w:val="0"/>
              <w:snapToGrid w:val="0"/>
              <w:spacing w:line="240" w:lineRule="atLeast"/>
              <w:jc w:val="cente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w:t>
            </w:r>
          </w:p>
        </w:tc>
        <w:tc>
          <w:tcPr>
            <w:tcW w:w="671" w:type="pct"/>
            <w:shd w:val="clear" w:color="auto" w:fill="auto"/>
            <w:vAlign w:val="center"/>
          </w:tcPr>
          <w:p>
            <w:pPr>
              <w:jc w:val="center"/>
              <w:rPr>
                <w:rFonts w:hint="eastAsia" w:ascii="宋体" w:hAnsi="宋体"/>
                <w:sz w:val="21"/>
                <w:szCs w:val="21"/>
                <w:lang w:eastAsia="zh-CN"/>
              </w:rPr>
            </w:pPr>
            <w:r>
              <w:rPr>
                <w:rFonts w:hint="eastAsia" w:ascii="宋体" w:hAnsi="Times New Roman" w:eastAsia="宋体" w:cs="Times New Roman"/>
                <w:color w:val="auto"/>
                <w:sz w:val="21"/>
                <w:szCs w:val="22"/>
                <w:highlight w:val="none"/>
                <w:lang w:val="en-US" w:eastAsia="zh-CN" w:bidi="ar-SA"/>
              </w:rPr>
              <w:t>新增</w:t>
            </w:r>
          </w:p>
        </w:tc>
      </w:tr>
    </w:tbl>
    <w:p>
      <w:pPr>
        <w:pStyle w:val="13"/>
        <w:spacing w:line="360" w:lineRule="auto"/>
        <w:ind w:firstLine="562"/>
        <w:rPr>
          <w:rFonts w:ascii="仿宋" w:hAnsi="仿宋" w:eastAsia="仿宋" w:cs="仿宋"/>
          <w:b/>
          <w:sz w:val="28"/>
          <w:szCs w:val="28"/>
        </w:rPr>
      </w:pPr>
      <w:r>
        <w:rPr>
          <w:rFonts w:hint="eastAsia" w:ascii="仿宋" w:hAnsi="仿宋" w:eastAsia="仿宋" w:cs="仿宋"/>
          <w:b/>
          <w:sz w:val="28"/>
          <w:szCs w:val="28"/>
        </w:rPr>
        <w:t>标准先进性说明</w:t>
      </w:r>
      <w:r>
        <w:rPr>
          <w:rFonts w:ascii="仿宋" w:hAnsi="仿宋" w:eastAsia="仿宋" w:cs="仿宋"/>
          <w:b/>
          <w:sz w:val="28"/>
          <w:szCs w:val="28"/>
        </w:rPr>
        <w:t>：</w:t>
      </w:r>
    </w:p>
    <w:p>
      <w:pPr>
        <w:pStyle w:val="13"/>
        <w:spacing w:line="360" w:lineRule="auto"/>
        <w:ind w:firstLine="560"/>
        <w:rPr>
          <w:rFonts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尺寸偏差</w:t>
      </w:r>
      <w:r>
        <w:rPr>
          <w:rFonts w:hint="eastAsia" w:ascii="仿宋" w:hAnsi="仿宋" w:eastAsia="仿宋" w:cs="仿宋"/>
          <w:bCs/>
          <w:sz w:val="28"/>
          <w:szCs w:val="28"/>
        </w:rPr>
        <w:t>：反映产品</w:t>
      </w:r>
      <w:r>
        <w:rPr>
          <w:rFonts w:hint="eastAsia" w:ascii="仿宋" w:hAnsi="仿宋" w:eastAsia="仿宋" w:cs="仿宋"/>
          <w:bCs/>
          <w:sz w:val="28"/>
          <w:szCs w:val="28"/>
          <w:lang w:eastAsia="zh-CN"/>
        </w:rPr>
        <w:t>加工质量和外观美观</w:t>
      </w:r>
      <w:r>
        <w:rPr>
          <w:rFonts w:hint="eastAsia" w:ascii="仿宋" w:hAnsi="仿宋" w:eastAsia="仿宋" w:cs="仿宋"/>
          <w:bCs/>
          <w:sz w:val="28"/>
          <w:szCs w:val="28"/>
        </w:rPr>
        <w:t>。</w:t>
      </w:r>
    </w:p>
    <w:p>
      <w:pPr>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理由说明：尺寸偏差小，反映企业加工能力强，加工工艺波动小，有利于保证产品质量的稳定性和一致性，使产品在外观上超于美观。</w:t>
      </w:r>
    </w:p>
    <w:p>
      <w:pPr>
        <w:pStyle w:val="1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lang w:val="en-US" w:eastAsia="zh-CN"/>
        </w:rPr>
        <w:t>2）轮子磨损率、连接牢固性能、轮架可靠性能、轮子摩擦系数、耐久性能、制动器可靠性能</w:t>
      </w:r>
      <w:r>
        <w:rPr>
          <w:rFonts w:hint="eastAsia" w:ascii="仿宋" w:hAnsi="仿宋" w:eastAsia="仿宋" w:cs="仿宋"/>
          <w:bCs/>
          <w:sz w:val="28"/>
          <w:szCs w:val="28"/>
          <w:lang w:eastAsia="zh-CN"/>
        </w:rPr>
        <w:t>：反映产品的使用质量优越性、安全性和耐用性</w:t>
      </w:r>
    </w:p>
    <w:p>
      <w:pPr>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产品的轮子磨损率、连接牢固性能、轮架可靠性能、轮子摩擦系数、耐久性能、制动器可靠性能，都是消费者最关心的关键指标，是企业提高市场竞争力的核心，也是佛山市轮滑鞋占据国内外市场的法宝，是产品品牌形象的集中体现。这些性能指标的提高并优于国家标准，将为促进佛山市轮滑鞋行业的高质量发展并引领行业的发展具有决定性作用，极大促进企业的市场品牌效应。</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4.2  </w:t>
      </w:r>
      <w:r>
        <w:rPr>
          <w:rFonts w:ascii="黑体" w:hAnsi="宋体" w:eastAsia="黑体" w:cs="黑体"/>
          <w:sz w:val="28"/>
          <w:szCs w:val="28"/>
          <w:lang w:eastAsia="zh-CN"/>
        </w:rPr>
        <w:t>试验方法</w:t>
      </w:r>
    </w:p>
    <w:p>
      <w:pPr>
        <w:pStyle w:val="39"/>
        <w:numPr>
          <w:ilvl w:val="1"/>
          <w:numId w:val="0"/>
        </w:numPr>
        <w:spacing w:before="156" w:after="156"/>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本标准所有性能指标项目的试验均按</w:t>
      </w:r>
      <w:r>
        <w:rPr>
          <w:rFonts w:hint="eastAsia" w:ascii="仿宋" w:hAnsi="仿宋" w:eastAsia="仿宋" w:cs="仿宋"/>
          <w:sz w:val="28"/>
          <w:szCs w:val="28"/>
        </w:rPr>
        <w:t>GB/T 20096-2021</w:t>
      </w:r>
      <w:r>
        <w:rPr>
          <w:rFonts w:hint="eastAsia" w:ascii="仿宋" w:hAnsi="仿宋" w:eastAsia="仿宋" w:cs="仿宋"/>
          <w:sz w:val="28"/>
          <w:szCs w:val="28"/>
          <w:lang w:val="en-US" w:eastAsia="zh-CN"/>
        </w:rPr>
        <w:t>第7章规定的试验方法进行，</w:t>
      </w:r>
      <w:r>
        <w:rPr>
          <w:rFonts w:hint="eastAsia" w:ascii="仿宋" w:hAnsi="仿宋" w:eastAsia="仿宋" w:cs="仿宋"/>
          <w:sz w:val="28"/>
          <w:szCs w:val="28"/>
          <w:lang w:eastAsia="zh-CN"/>
        </w:rPr>
        <w:t>所以本标准的试验方法均采用相应的国家标准和行业标准的测试方法进行。</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ascii="黑体" w:hAnsi="宋体" w:eastAsia="黑体" w:cs="黑体"/>
          <w:sz w:val="28"/>
          <w:szCs w:val="28"/>
          <w:lang w:eastAsia="zh-CN"/>
        </w:rPr>
        <w:t>3</w:t>
      </w:r>
      <w:r>
        <w:rPr>
          <w:rFonts w:hint="eastAsia" w:ascii="黑体" w:hAnsi="宋体" w:eastAsia="黑体" w:cs="黑体"/>
          <w:sz w:val="28"/>
          <w:szCs w:val="28"/>
          <w:lang w:eastAsia="zh-CN"/>
        </w:rPr>
        <w:t xml:space="preserve">  </w:t>
      </w:r>
      <w:r>
        <w:rPr>
          <w:rFonts w:ascii="黑体" w:hAnsi="宋体" w:eastAsia="黑体" w:cs="黑体"/>
          <w:sz w:val="28"/>
          <w:szCs w:val="28"/>
          <w:lang w:eastAsia="zh-CN"/>
        </w:rPr>
        <w:t>检验规则</w:t>
      </w:r>
    </w:p>
    <w:p>
      <w:pPr>
        <w:pStyle w:val="39"/>
        <w:numPr>
          <w:ilvl w:val="1"/>
          <w:numId w:val="0"/>
        </w:numPr>
        <w:spacing w:before="156" w:after="156"/>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检验规则按</w:t>
      </w:r>
      <w:r>
        <w:rPr>
          <w:rFonts w:hint="eastAsia" w:ascii="仿宋" w:hAnsi="仿宋" w:eastAsia="仿宋" w:cs="仿宋"/>
          <w:sz w:val="28"/>
          <w:szCs w:val="28"/>
        </w:rPr>
        <w:t>GB/T 20096-2021</w:t>
      </w:r>
      <w:r>
        <w:rPr>
          <w:rFonts w:hint="eastAsia" w:ascii="仿宋" w:hAnsi="仿宋" w:eastAsia="仿宋" w:cs="仿宋"/>
          <w:sz w:val="28"/>
          <w:szCs w:val="28"/>
          <w:lang w:val="en-US" w:eastAsia="zh-CN"/>
        </w:rPr>
        <w:t>第8章的规定进行</w:t>
      </w:r>
      <w:r>
        <w:rPr>
          <w:rFonts w:hint="eastAsia" w:ascii="仿宋" w:hAnsi="仿宋" w:eastAsia="仿宋" w:cs="仿宋"/>
          <w:sz w:val="28"/>
          <w:szCs w:val="28"/>
          <w:lang w:eastAsia="zh-CN"/>
        </w:rPr>
        <w:t>。</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ascii="黑体" w:hAnsi="宋体" w:eastAsia="黑体" w:cs="黑体"/>
          <w:sz w:val="28"/>
          <w:szCs w:val="28"/>
          <w:lang w:eastAsia="zh-CN"/>
        </w:rPr>
        <w:t>4</w:t>
      </w:r>
      <w:r>
        <w:rPr>
          <w:rFonts w:hint="eastAsia" w:ascii="黑体" w:hAnsi="宋体" w:eastAsia="黑体" w:cs="黑体"/>
          <w:sz w:val="28"/>
          <w:szCs w:val="28"/>
          <w:lang w:eastAsia="zh-CN"/>
        </w:rPr>
        <w:t xml:space="preserve">  标志、</w:t>
      </w:r>
      <w:r>
        <w:rPr>
          <w:rFonts w:ascii="黑体" w:hAnsi="宋体" w:eastAsia="黑体" w:cs="黑体"/>
          <w:sz w:val="28"/>
          <w:szCs w:val="28"/>
          <w:lang w:eastAsia="zh-CN"/>
        </w:rPr>
        <w:t>包装、运输、贮存</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val="en-US" w:eastAsia="zh-CN"/>
        </w:rPr>
        <w:t>在</w:t>
      </w:r>
      <w:r>
        <w:rPr>
          <w:rFonts w:hint="eastAsia" w:ascii="仿宋" w:hAnsi="仿宋" w:eastAsia="仿宋" w:cs="仿宋"/>
          <w:sz w:val="28"/>
          <w:szCs w:val="28"/>
        </w:rPr>
        <w:t>GB/T 20096-2021</w:t>
      </w:r>
      <w:r>
        <w:rPr>
          <w:rFonts w:hint="eastAsia" w:ascii="仿宋" w:hAnsi="仿宋" w:eastAsia="仿宋" w:cs="仿宋"/>
          <w:sz w:val="28"/>
          <w:szCs w:val="28"/>
          <w:lang w:val="en-US" w:eastAsia="zh-CN"/>
        </w:rPr>
        <w:t>第9章规定的基础上，</w:t>
      </w:r>
      <w:r>
        <w:rPr>
          <w:rFonts w:hint="eastAsia" w:ascii="仿宋" w:hAnsi="仿宋" w:eastAsia="仿宋" w:cs="仿宋"/>
          <w:sz w:val="28"/>
          <w:szCs w:val="28"/>
          <w:lang w:eastAsia="zh-CN"/>
        </w:rPr>
        <w:t>根据相关国家对产品的使用说明要求，标准规定了产品的使用说明应符合标准中的技术要求，产品包装按规定执行，运输、贮存根据产品的需要作了相应规定。</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4.5  质量承诺</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规定了产品保修期、维修服务和客户响应。</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5  与现行相关法律、法规、规章及相关标准的协调性</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本标准内容符合现行法律、法规。</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6  标准的实施与宣贯 </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已批准发布的佛山标准，文本由佛山市佛山标准和卓越绩效管理促进会在官方网站 （http://）上全文公布，供社会免费查阅。鼓励相关单位在标准信息公共服务平台（http://www.cpbz.gov.cn/）上自我声明公开执行本标准。</w:t>
      </w:r>
      <w:r>
        <w:rPr>
          <w:rFonts w:ascii="仿宋" w:hAnsi="仿宋" w:eastAsia="仿宋" w:cs="仿宋"/>
          <w:sz w:val="28"/>
          <w:szCs w:val="28"/>
          <w:lang w:eastAsia="zh-CN"/>
        </w:rPr>
        <w:t> </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7  其他应予说明的事项 </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标准不涉及专利。</w:t>
      </w:r>
    </w:p>
    <w:p>
      <w:pPr>
        <w:widowControl/>
        <w:spacing w:line="360" w:lineRule="auto"/>
        <w:ind w:firstLine="560" w:firstLineChars="200"/>
        <w:rPr>
          <w:rFonts w:ascii="仿宋" w:hAnsi="仿宋" w:eastAsia="仿宋" w:cs="仿宋"/>
          <w:sz w:val="28"/>
          <w:szCs w:val="28"/>
          <w:lang w:eastAsia="zh-CN"/>
        </w:rPr>
      </w:pPr>
    </w:p>
    <w:p>
      <w:pPr>
        <w:widowControl/>
        <w:spacing w:line="360" w:lineRule="auto"/>
        <w:ind w:firstLine="560" w:firstLineChars="200"/>
        <w:rPr>
          <w:rFonts w:ascii="仿宋" w:hAnsi="仿宋" w:eastAsia="仿宋" w:cs="仿宋"/>
          <w:sz w:val="28"/>
          <w:szCs w:val="28"/>
          <w:lang w:eastAsia="zh-CN"/>
        </w:rPr>
      </w:pPr>
    </w:p>
    <w:p>
      <w:pPr>
        <w:widowControl/>
        <w:spacing w:line="360" w:lineRule="auto"/>
        <w:ind w:firstLine="560" w:firstLineChars="200"/>
        <w:jc w:val="right"/>
        <w:rPr>
          <w:rFonts w:ascii="仿宋" w:hAnsi="仿宋" w:eastAsia="仿宋" w:cs="仿宋"/>
          <w:sz w:val="28"/>
          <w:szCs w:val="28"/>
          <w:lang w:eastAsia="zh-CN"/>
        </w:rPr>
      </w:pPr>
      <w:r>
        <w:rPr>
          <w:rFonts w:hint="eastAsia" w:ascii="仿宋" w:hAnsi="仿宋" w:eastAsia="仿宋" w:cs="仿宋"/>
          <w:sz w:val="28"/>
          <w:szCs w:val="28"/>
          <w:lang w:eastAsia="zh-CN"/>
        </w:rPr>
        <w:t>《佛山标准</w:t>
      </w:r>
      <w:r>
        <w:rPr>
          <w:rFonts w:hint="eastAsia" w:ascii="仿宋" w:hAnsi="仿宋" w:eastAsia="仿宋" w:cs="仿宋"/>
          <w:sz w:val="28"/>
          <w:szCs w:val="28"/>
          <w:lang w:val="en-US" w:eastAsia="zh-CN"/>
        </w:rPr>
        <w:t xml:space="preserve"> 轮滑鞋</w:t>
      </w:r>
      <w:r>
        <w:rPr>
          <w:rFonts w:hint="eastAsia" w:ascii="仿宋" w:hAnsi="仿宋" w:eastAsia="仿宋" w:cs="仿宋"/>
          <w:sz w:val="28"/>
          <w:szCs w:val="28"/>
          <w:lang w:eastAsia="zh-CN"/>
        </w:rPr>
        <w:t xml:space="preserve">》标准工作组 </w:t>
      </w:r>
    </w:p>
    <w:p>
      <w:pPr>
        <w:widowControl/>
        <w:spacing w:line="360" w:lineRule="auto"/>
        <w:ind w:right="1120" w:firstLine="560" w:firstLineChars="200"/>
        <w:jc w:val="right"/>
        <w:rPr>
          <w:rFonts w:ascii="仿宋" w:hAnsi="仿宋" w:eastAsia="仿宋" w:cs="仿宋"/>
          <w:sz w:val="28"/>
          <w:szCs w:val="28"/>
          <w:lang w:eastAsia="zh-CN"/>
        </w:rPr>
      </w:pPr>
      <w:r>
        <w:rPr>
          <w:rFonts w:hint="eastAsia" w:ascii="仿宋" w:hAnsi="仿宋" w:eastAsia="仿宋" w:cs="仿宋"/>
          <w:sz w:val="28"/>
          <w:szCs w:val="28"/>
          <w:lang w:eastAsia="zh-CN"/>
        </w:rPr>
        <w:t>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日</w:t>
      </w:r>
    </w:p>
    <w:p>
      <w:pPr>
        <w:widowControl/>
        <w:spacing w:line="360" w:lineRule="auto"/>
        <w:ind w:firstLine="560" w:firstLineChars="200"/>
        <w:jc w:val="right"/>
        <w:rPr>
          <w:rFonts w:ascii="仿宋" w:hAnsi="仿宋" w:eastAsia="仿宋" w:cs="仿宋"/>
          <w:sz w:val="28"/>
          <w:szCs w:val="28"/>
          <w:lang w:eastAsia="zh-CN"/>
        </w:rPr>
      </w:pPr>
    </w:p>
    <w:p>
      <w:pPr>
        <w:widowControl/>
        <w:spacing w:line="360" w:lineRule="auto"/>
        <w:ind w:firstLine="560" w:firstLineChars="200"/>
        <w:jc w:val="right"/>
        <w:rPr>
          <w:rFonts w:ascii="仿宋" w:hAnsi="仿宋" w:eastAsia="仿宋" w:cs="仿宋"/>
          <w:sz w:val="28"/>
          <w:szCs w:val="28"/>
          <w:lang w:eastAsia="zh-CN"/>
        </w:rPr>
      </w:pPr>
    </w:p>
    <w:sectPr>
      <w:footerReference r:id="rId3" w:type="default"/>
      <w:pgSz w:w="11906" w:h="16838"/>
      <w:pgMar w:top="1440" w:right="1080" w:bottom="1440" w:left="1080" w:header="851" w:footer="992" w:gutter="0"/>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10</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C9D27"/>
    <w:multiLevelType w:val="singleLevel"/>
    <w:tmpl w:val="F2EC9D27"/>
    <w:lvl w:ilvl="0" w:tentative="0">
      <w:start w:val="1"/>
      <w:numFmt w:val="decimal"/>
      <w:suff w:val="nothing"/>
      <w:lvlText w:val="%1）"/>
      <w:lvlJc w:val="left"/>
    </w:lvl>
  </w:abstractNum>
  <w:abstractNum w:abstractNumId="1">
    <w:nsid w:val="079102AD"/>
    <w:multiLevelType w:val="multilevel"/>
    <w:tmpl w:val="079102AD"/>
    <w:lvl w:ilvl="0" w:tentative="0">
      <w:start w:val="1"/>
      <w:numFmt w:val="decimal"/>
      <w:pStyle w:val="2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19782EDA"/>
    <w:multiLevelType w:val="multilevel"/>
    <w:tmpl w:val="19782EDA"/>
    <w:lvl w:ilvl="0" w:tentative="0">
      <w:start w:val="1"/>
      <w:numFmt w:val="lowerLetter"/>
      <w:pStyle w:val="19"/>
      <w:lvlText w:val="%1)"/>
      <w:lvlJc w:val="left"/>
      <w:pPr>
        <w:tabs>
          <w:tab w:val="left" w:pos="840"/>
        </w:tabs>
        <w:ind w:left="839" w:hanging="419"/>
      </w:pPr>
      <w:rPr>
        <w:rFonts w:hint="eastAsia" w:ascii="宋体" w:hAnsi="Times New Roman" w:eastAsia="宋体" w:cs="宋体"/>
        <w:b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cs="宋体"/>
        <w:b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B800546"/>
    <w:multiLevelType w:val="multilevel"/>
    <w:tmpl w:val="2B800546"/>
    <w:lvl w:ilvl="0" w:tentative="0">
      <w:start w:val="1"/>
      <w:numFmt w:val="lowerLetter"/>
      <w:pStyle w:val="38"/>
      <w:lvlText w:val="%1)"/>
      <w:lvlJc w:val="left"/>
      <w:pPr>
        <w:tabs>
          <w:tab w:val="left" w:pos="850"/>
        </w:tabs>
        <w:ind w:left="850" w:hanging="425"/>
      </w:pPr>
      <w:rPr>
        <w:rFonts w:hint="eastAsia" w:ascii="宋体" w:hAnsi="宋体" w:eastAsia="宋体"/>
        <w:sz w:val="20"/>
      </w:rPr>
    </w:lvl>
    <w:lvl w:ilvl="1" w:tentative="0">
      <w:start w:val="1"/>
      <w:numFmt w:val="decimal"/>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5">
    <w:nsid w:val="557C2AF5"/>
    <w:multiLevelType w:val="multilevel"/>
    <w:tmpl w:val="557C2AF5"/>
    <w:lvl w:ilvl="0" w:tentative="0">
      <w:start w:val="1"/>
      <w:numFmt w:val="decimal"/>
      <w:pStyle w:val="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3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FC930AC"/>
    <w:multiLevelType w:val="multilevel"/>
    <w:tmpl w:val="6FC930AC"/>
    <w:lvl w:ilvl="0" w:tentative="0">
      <w:start w:val="1"/>
      <w:numFmt w:val="decimal"/>
      <w:pStyle w:val="40"/>
      <w:suff w:val="nothing"/>
      <w:lvlText w:val="%1　"/>
      <w:lvlJc w:val="left"/>
      <w:pPr>
        <w:ind w:left="0" w:firstLine="0"/>
      </w:pPr>
      <w:rPr>
        <w:rFonts w:hint="eastAsia" w:ascii="黑体" w:hAnsi="黑体" w:eastAsia="黑体"/>
        <w:sz w:val="20"/>
      </w:rPr>
    </w:lvl>
    <w:lvl w:ilvl="1" w:tentative="0">
      <w:start w:val="1"/>
      <w:numFmt w:val="decimal"/>
      <w:pStyle w:val="39"/>
      <w:suff w:val="nothing"/>
      <w:lvlText w:val="%1.%2　"/>
      <w:lvlJc w:val="left"/>
      <w:pPr>
        <w:ind w:left="0" w:firstLine="0"/>
      </w:pPr>
      <w:rPr>
        <w:rFonts w:hint="eastAsia" w:ascii="黑体" w:hAnsi="黑体" w:eastAsia="黑体"/>
        <w:sz w:val="20"/>
      </w:rPr>
    </w:lvl>
    <w:lvl w:ilvl="2" w:tentative="0">
      <w:start w:val="1"/>
      <w:numFmt w:val="decimal"/>
      <w:pStyle w:val="37"/>
      <w:suff w:val="nothing"/>
      <w:lvlText w:val="%1.%2.%3　"/>
      <w:lvlJc w:val="left"/>
      <w:pPr>
        <w:ind w:left="0" w:firstLine="0"/>
      </w:pPr>
      <w:rPr>
        <w:rFonts w:hint="eastAsia" w:ascii="黑体" w:hAnsi="黑体" w:eastAsia="黑体"/>
        <w:sz w:val="20"/>
      </w:rPr>
    </w:lvl>
    <w:lvl w:ilvl="3" w:tentative="0">
      <w:start w:val="1"/>
      <w:numFmt w:val="decimal"/>
      <w:suff w:val="nothing"/>
      <w:lvlText w:val="%1.%2.%3.%4　"/>
      <w:lvlJc w:val="left"/>
      <w:pPr>
        <w:ind w:left="0" w:firstLine="0"/>
      </w:pPr>
      <w:rPr>
        <w:rFonts w:hint="eastAsia" w:ascii="黑体" w:hAnsi="黑体" w:eastAsia="黑体"/>
        <w:sz w:val="20"/>
      </w:rPr>
    </w:lvl>
    <w:lvl w:ilvl="4" w:tentative="0">
      <w:start w:val="1"/>
      <w:numFmt w:val="decimal"/>
      <w:suff w:val="nothing"/>
      <w:lvlText w:val="%1.%2.%3.%4.%5　"/>
      <w:lvlJc w:val="left"/>
      <w:pPr>
        <w:ind w:left="0" w:firstLine="0"/>
      </w:pPr>
      <w:rPr>
        <w:rFonts w:hint="eastAsia" w:ascii="黑体" w:hAnsi="黑体" w:eastAsia="黑体"/>
        <w:sz w:val="20"/>
      </w:rPr>
    </w:lvl>
    <w:lvl w:ilvl="5" w:tentative="0">
      <w:start w:val="1"/>
      <w:numFmt w:val="decimal"/>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7279CB2F"/>
    <w:multiLevelType w:val="singleLevel"/>
    <w:tmpl w:val="7279CB2F"/>
    <w:lvl w:ilvl="0" w:tentative="0">
      <w:start w:val="1"/>
      <w:numFmt w:val="decimal"/>
      <w:suff w:val="nothing"/>
      <w:lvlText w:val="%1）"/>
      <w:lvlJc w:val="left"/>
    </w:lvl>
  </w:abstractNum>
  <w:num w:numId="1">
    <w:abstractNumId w:val="3"/>
  </w:num>
  <w:num w:numId="2">
    <w:abstractNumId w:val="2"/>
  </w:num>
  <w:num w:numId="3">
    <w:abstractNumId w:val="1"/>
  </w:num>
  <w:num w:numId="4">
    <w:abstractNumId w:val="6"/>
  </w:num>
  <w:num w:numId="5">
    <w:abstractNumId w:val="5"/>
  </w:num>
  <w:num w:numId="6">
    <w:abstractNumId w:val="7"/>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DQ3NzI0YjNlNjM1OWRmMTNmYzVhZDE1Nzk1MzVlOTEifQ=="/>
  </w:docVars>
  <w:rsids>
    <w:rsidRoot w:val="5EBC12FA"/>
    <w:rsid w:val="00002D36"/>
    <w:rsid w:val="00010510"/>
    <w:rsid w:val="0001069C"/>
    <w:rsid w:val="0001178E"/>
    <w:rsid w:val="00011B1D"/>
    <w:rsid w:val="000133BD"/>
    <w:rsid w:val="00017C5C"/>
    <w:rsid w:val="00020296"/>
    <w:rsid w:val="000210B7"/>
    <w:rsid w:val="0002183F"/>
    <w:rsid w:val="00021B53"/>
    <w:rsid w:val="0002393D"/>
    <w:rsid w:val="000256A0"/>
    <w:rsid w:val="00026E7C"/>
    <w:rsid w:val="000315F1"/>
    <w:rsid w:val="000324BA"/>
    <w:rsid w:val="000327C0"/>
    <w:rsid w:val="0003468E"/>
    <w:rsid w:val="00035EB0"/>
    <w:rsid w:val="000379E8"/>
    <w:rsid w:val="000400C3"/>
    <w:rsid w:val="0004121A"/>
    <w:rsid w:val="000416D2"/>
    <w:rsid w:val="00041A0B"/>
    <w:rsid w:val="000439EC"/>
    <w:rsid w:val="00046ECD"/>
    <w:rsid w:val="000532DB"/>
    <w:rsid w:val="00054019"/>
    <w:rsid w:val="00055186"/>
    <w:rsid w:val="000574F9"/>
    <w:rsid w:val="0005788F"/>
    <w:rsid w:val="00061B69"/>
    <w:rsid w:val="00061FBE"/>
    <w:rsid w:val="000630C5"/>
    <w:rsid w:val="00063DFD"/>
    <w:rsid w:val="0006524A"/>
    <w:rsid w:val="00066063"/>
    <w:rsid w:val="000673F4"/>
    <w:rsid w:val="00067B62"/>
    <w:rsid w:val="00070FBE"/>
    <w:rsid w:val="000738BC"/>
    <w:rsid w:val="000760AF"/>
    <w:rsid w:val="00076BAA"/>
    <w:rsid w:val="0008080B"/>
    <w:rsid w:val="00081572"/>
    <w:rsid w:val="0008480B"/>
    <w:rsid w:val="00085839"/>
    <w:rsid w:val="0008624E"/>
    <w:rsid w:val="00087088"/>
    <w:rsid w:val="0008780E"/>
    <w:rsid w:val="0009129D"/>
    <w:rsid w:val="0009542D"/>
    <w:rsid w:val="000960BF"/>
    <w:rsid w:val="000973D8"/>
    <w:rsid w:val="00097D97"/>
    <w:rsid w:val="000A0057"/>
    <w:rsid w:val="000A03FB"/>
    <w:rsid w:val="000A1E89"/>
    <w:rsid w:val="000A4042"/>
    <w:rsid w:val="000A43C3"/>
    <w:rsid w:val="000A466B"/>
    <w:rsid w:val="000B040B"/>
    <w:rsid w:val="000B1D65"/>
    <w:rsid w:val="000B29B4"/>
    <w:rsid w:val="000B420C"/>
    <w:rsid w:val="000B71E6"/>
    <w:rsid w:val="000B7755"/>
    <w:rsid w:val="000C2289"/>
    <w:rsid w:val="000C3665"/>
    <w:rsid w:val="000C4BCF"/>
    <w:rsid w:val="000C6CB6"/>
    <w:rsid w:val="000C7C69"/>
    <w:rsid w:val="000D0B48"/>
    <w:rsid w:val="000D1BE4"/>
    <w:rsid w:val="000D34D8"/>
    <w:rsid w:val="000D4BC3"/>
    <w:rsid w:val="000D579A"/>
    <w:rsid w:val="000E007C"/>
    <w:rsid w:val="000E03A1"/>
    <w:rsid w:val="000E074D"/>
    <w:rsid w:val="000E176B"/>
    <w:rsid w:val="000E4E4F"/>
    <w:rsid w:val="000E53C5"/>
    <w:rsid w:val="000F14B2"/>
    <w:rsid w:val="000F2509"/>
    <w:rsid w:val="000F252D"/>
    <w:rsid w:val="00101C70"/>
    <w:rsid w:val="00101ECB"/>
    <w:rsid w:val="0010348A"/>
    <w:rsid w:val="00106EAD"/>
    <w:rsid w:val="00110881"/>
    <w:rsid w:val="00111465"/>
    <w:rsid w:val="001114FF"/>
    <w:rsid w:val="0012051C"/>
    <w:rsid w:val="00124AB0"/>
    <w:rsid w:val="00127180"/>
    <w:rsid w:val="00131104"/>
    <w:rsid w:val="001354F7"/>
    <w:rsid w:val="001368AB"/>
    <w:rsid w:val="00137EC5"/>
    <w:rsid w:val="001403CC"/>
    <w:rsid w:val="001422EC"/>
    <w:rsid w:val="00142703"/>
    <w:rsid w:val="00151F4E"/>
    <w:rsid w:val="001522C3"/>
    <w:rsid w:val="00154027"/>
    <w:rsid w:val="00157412"/>
    <w:rsid w:val="00160A3B"/>
    <w:rsid w:val="001620FC"/>
    <w:rsid w:val="001665F6"/>
    <w:rsid w:val="001673BC"/>
    <w:rsid w:val="00174901"/>
    <w:rsid w:val="0017524B"/>
    <w:rsid w:val="00177050"/>
    <w:rsid w:val="001805B8"/>
    <w:rsid w:val="00187A3D"/>
    <w:rsid w:val="00192A8A"/>
    <w:rsid w:val="001955CB"/>
    <w:rsid w:val="0019614F"/>
    <w:rsid w:val="001A4E9C"/>
    <w:rsid w:val="001A6329"/>
    <w:rsid w:val="001A634B"/>
    <w:rsid w:val="001A7065"/>
    <w:rsid w:val="001A7B84"/>
    <w:rsid w:val="001B06B8"/>
    <w:rsid w:val="001B1B8E"/>
    <w:rsid w:val="001B4C07"/>
    <w:rsid w:val="001B4F98"/>
    <w:rsid w:val="001B7C1E"/>
    <w:rsid w:val="001C076A"/>
    <w:rsid w:val="001C29DA"/>
    <w:rsid w:val="001C37E3"/>
    <w:rsid w:val="001C4949"/>
    <w:rsid w:val="001C7AA8"/>
    <w:rsid w:val="001C7BB6"/>
    <w:rsid w:val="001D6418"/>
    <w:rsid w:val="001D6A9E"/>
    <w:rsid w:val="001E0E6D"/>
    <w:rsid w:val="001E1893"/>
    <w:rsid w:val="001E383F"/>
    <w:rsid w:val="001E6A03"/>
    <w:rsid w:val="001F4EE2"/>
    <w:rsid w:val="001F6E8E"/>
    <w:rsid w:val="001F74B6"/>
    <w:rsid w:val="0020028E"/>
    <w:rsid w:val="002011A2"/>
    <w:rsid w:val="0020124A"/>
    <w:rsid w:val="00205F8F"/>
    <w:rsid w:val="002060F4"/>
    <w:rsid w:val="00206D85"/>
    <w:rsid w:val="0020738D"/>
    <w:rsid w:val="00216CD4"/>
    <w:rsid w:val="00221540"/>
    <w:rsid w:val="002215F7"/>
    <w:rsid w:val="0022161E"/>
    <w:rsid w:val="00221B6D"/>
    <w:rsid w:val="002274A4"/>
    <w:rsid w:val="00227F08"/>
    <w:rsid w:val="00230F1B"/>
    <w:rsid w:val="002317F8"/>
    <w:rsid w:val="002329C3"/>
    <w:rsid w:val="002350EA"/>
    <w:rsid w:val="002400C7"/>
    <w:rsid w:val="00242C58"/>
    <w:rsid w:val="00244A0D"/>
    <w:rsid w:val="00244B76"/>
    <w:rsid w:val="00244E49"/>
    <w:rsid w:val="00246CAA"/>
    <w:rsid w:val="0024794B"/>
    <w:rsid w:val="00250AC6"/>
    <w:rsid w:val="00253AA8"/>
    <w:rsid w:val="00257EDA"/>
    <w:rsid w:val="00263B91"/>
    <w:rsid w:val="00264B27"/>
    <w:rsid w:val="002651C7"/>
    <w:rsid w:val="00266373"/>
    <w:rsid w:val="002702B7"/>
    <w:rsid w:val="00271257"/>
    <w:rsid w:val="00271ADF"/>
    <w:rsid w:val="00277FAD"/>
    <w:rsid w:val="00281521"/>
    <w:rsid w:val="00281848"/>
    <w:rsid w:val="00281C72"/>
    <w:rsid w:val="00282F6B"/>
    <w:rsid w:val="002834AE"/>
    <w:rsid w:val="00283E16"/>
    <w:rsid w:val="002864DD"/>
    <w:rsid w:val="002867A3"/>
    <w:rsid w:val="00287145"/>
    <w:rsid w:val="002912CF"/>
    <w:rsid w:val="00293B91"/>
    <w:rsid w:val="00294765"/>
    <w:rsid w:val="00294B38"/>
    <w:rsid w:val="00294D13"/>
    <w:rsid w:val="002A1F2C"/>
    <w:rsid w:val="002A4377"/>
    <w:rsid w:val="002A6D11"/>
    <w:rsid w:val="002A6E58"/>
    <w:rsid w:val="002A7F08"/>
    <w:rsid w:val="002B1159"/>
    <w:rsid w:val="002B1C95"/>
    <w:rsid w:val="002B207C"/>
    <w:rsid w:val="002B7DE2"/>
    <w:rsid w:val="002C11AC"/>
    <w:rsid w:val="002C2535"/>
    <w:rsid w:val="002C38B5"/>
    <w:rsid w:val="002C57FC"/>
    <w:rsid w:val="002C782D"/>
    <w:rsid w:val="002D1B11"/>
    <w:rsid w:val="002D3DEF"/>
    <w:rsid w:val="002E4FB0"/>
    <w:rsid w:val="002E6186"/>
    <w:rsid w:val="002E6C99"/>
    <w:rsid w:val="002F16CD"/>
    <w:rsid w:val="002F1B13"/>
    <w:rsid w:val="002F226C"/>
    <w:rsid w:val="002F3A01"/>
    <w:rsid w:val="002F448C"/>
    <w:rsid w:val="002F4C40"/>
    <w:rsid w:val="003014FB"/>
    <w:rsid w:val="00301655"/>
    <w:rsid w:val="00304B2E"/>
    <w:rsid w:val="00306562"/>
    <w:rsid w:val="003147F9"/>
    <w:rsid w:val="00321415"/>
    <w:rsid w:val="003216CD"/>
    <w:rsid w:val="00322FE3"/>
    <w:rsid w:val="003233E8"/>
    <w:rsid w:val="00335D75"/>
    <w:rsid w:val="0034212A"/>
    <w:rsid w:val="003446E3"/>
    <w:rsid w:val="00344E73"/>
    <w:rsid w:val="00353C90"/>
    <w:rsid w:val="0035716D"/>
    <w:rsid w:val="00357589"/>
    <w:rsid w:val="00357EF1"/>
    <w:rsid w:val="0036151E"/>
    <w:rsid w:val="00363708"/>
    <w:rsid w:val="0036388E"/>
    <w:rsid w:val="00365011"/>
    <w:rsid w:val="0036575A"/>
    <w:rsid w:val="00365B55"/>
    <w:rsid w:val="00366E71"/>
    <w:rsid w:val="0037008B"/>
    <w:rsid w:val="00373E56"/>
    <w:rsid w:val="003754A7"/>
    <w:rsid w:val="003761C2"/>
    <w:rsid w:val="0037647E"/>
    <w:rsid w:val="00377747"/>
    <w:rsid w:val="003806C6"/>
    <w:rsid w:val="00382119"/>
    <w:rsid w:val="0038265D"/>
    <w:rsid w:val="00382F30"/>
    <w:rsid w:val="00383123"/>
    <w:rsid w:val="003852C7"/>
    <w:rsid w:val="00387619"/>
    <w:rsid w:val="00391E6A"/>
    <w:rsid w:val="003920D1"/>
    <w:rsid w:val="00392E7F"/>
    <w:rsid w:val="003935F0"/>
    <w:rsid w:val="003A2729"/>
    <w:rsid w:val="003A294C"/>
    <w:rsid w:val="003A4471"/>
    <w:rsid w:val="003A6933"/>
    <w:rsid w:val="003A6F31"/>
    <w:rsid w:val="003B1DCC"/>
    <w:rsid w:val="003B434C"/>
    <w:rsid w:val="003B4646"/>
    <w:rsid w:val="003B523B"/>
    <w:rsid w:val="003B61C4"/>
    <w:rsid w:val="003B7AAA"/>
    <w:rsid w:val="003B7CD0"/>
    <w:rsid w:val="003B7DB1"/>
    <w:rsid w:val="003C1C38"/>
    <w:rsid w:val="003C27D7"/>
    <w:rsid w:val="003C53D9"/>
    <w:rsid w:val="003C633A"/>
    <w:rsid w:val="003C6353"/>
    <w:rsid w:val="003D0264"/>
    <w:rsid w:val="003D05AA"/>
    <w:rsid w:val="003E101B"/>
    <w:rsid w:val="003E11D6"/>
    <w:rsid w:val="003E1B3E"/>
    <w:rsid w:val="003E1BBA"/>
    <w:rsid w:val="003E1EA4"/>
    <w:rsid w:val="003E2D05"/>
    <w:rsid w:val="003E4AF6"/>
    <w:rsid w:val="003E6541"/>
    <w:rsid w:val="003F518E"/>
    <w:rsid w:val="00402E8B"/>
    <w:rsid w:val="00403B11"/>
    <w:rsid w:val="00405B9E"/>
    <w:rsid w:val="0040752C"/>
    <w:rsid w:val="0041035E"/>
    <w:rsid w:val="00410A58"/>
    <w:rsid w:val="004117B5"/>
    <w:rsid w:val="00414868"/>
    <w:rsid w:val="0041491C"/>
    <w:rsid w:val="00414E87"/>
    <w:rsid w:val="0041610B"/>
    <w:rsid w:val="004206AF"/>
    <w:rsid w:val="004206C8"/>
    <w:rsid w:val="00421517"/>
    <w:rsid w:val="004252B8"/>
    <w:rsid w:val="00425E47"/>
    <w:rsid w:val="00427688"/>
    <w:rsid w:val="00427D0F"/>
    <w:rsid w:val="00431B7D"/>
    <w:rsid w:val="00434715"/>
    <w:rsid w:val="00437BBC"/>
    <w:rsid w:val="004408E1"/>
    <w:rsid w:val="0044136E"/>
    <w:rsid w:val="00441D4F"/>
    <w:rsid w:val="0044370C"/>
    <w:rsid w:val="00444833"/>
    <w:rsid w:val="004455B9"/>
    <w:rsid w:val="0044647E"/>
    <w:rsid w:val="0045134B"/>
    <w:rsid w:val="00454A10"/>
    <w:rsid w:val="00455DCD"/>
    <w:rsid w:val="004563C2"/>
    <w:rsid w:val="004567D2"/>
    <w:rsid w:val="004601C6"/>
    <w:rsid w:val="00461F94"/>
    <w:rsid w:val="00462AEF"/>
    <w:rsid w:val="0046556B"/>
    <w:rsid w:val="00467449"/>
    <w:rsid w:val="0047005D"/>
    <w:rsid w:val="00470A7D"/>
    <w:rsid w:val="0047385A"/>
    <w:rsid w:val="00473D05"/>
    <w:rsid w:val="0047510E"/>
    <w:rsid w:val="0047574F"/>
    <w:rsid w:val="00477962"/>
    <w:rsid w:val="00482E82"/>
    <w:rsid w:val="0048578A"/>
    <w:rsid w:val="00485AD9"/>
    <w:rsid w:val="00490A31"/>
    <w:rsid w:val="00492782"/>
    <w:rsid w:val="0049433D"/>
    <w:rsid w:val="00494B94"/>
    <w:rsid w:val="004966D8"/>
    <w:rsid w:val="00497603"/>
    <w:rsid w:val="004A248B"/>
    <w:rsid w:val="004A64F5"/>
    <w:rsid w:val="004A68BA"/>
    <w:rsid w:val="004A73F6"/>
    <w:rsid w:val="004B07A8"/>
    <w:rsid w:val="004B2320"/>
    <w:rsid w:val="004B5221"/>
    <w:rsid w:val="004B59D8"/>
    <w:rsid w:val="004B7473"/>
    <w:rsid w:val="004C1DDC"/>
    <w:rsid w:val="004C768A"/>
    <w:rsid w:val="004D13D4"/>
    <w:rsid w:val="004D14A2"/>
    <w:rsid w:val="004D2BB9"/>
    <w:rsid w:val="004D4F92"/>
    <w:rsid w:val="004E0381"/>
    <w:rsid w:val="004E18D1"/>
    <w:rsid w:val="004E5CAA"/>
    <w:rsid w:val="004F20D7"/>
    <w:rsid w:val="004F3238"/>
    <w:rsid w:val="004F4268"/>
    <w:rsid w:val="004F5A0D"/>
    <w:rsid w:val="004F602B"/>
    <w:rsid w:val="00500F0C"/>
    <w:rsid w:val="005063CA"/>
    <w:rsid w:val="0051255A"/>
    <w:rsid w:val="00514E71"/>
    <w:rsid w:val="005168F0"/>
    <w:rsid w:val="00521868"/>
    <w:rsid w:val="00522646"/>
    <w:rsid w:val="00522869"/>
    <w:rsid w:val="00523A2F"/>
    <w:rsid w:val="0052528F"/>
    <w:rsid w:val="0053036C"/>
    <w:rsid w:val="00530AE3"/>
    <w:rsid w:val="00531905"/>
    <w:rsid w:val="0054426D"/>
    <w:rsid w:val="00544805"/>
    <w:rsid w:val="00545D6A"/>
    <w:rsid w:val="00546067"/>
    <w:rsid w:val="005466E8"/>
    <w:rsid w:val="00551008"/>
    <w:rsid w:val="005546C6"/>
    <w:rsid w:val="00554962"/>
    <w:rsid w:val="00555EFC"/>
    <w:rsid w:val="00562D2E"/>
    <w:rsid w:val="005632F6"/>
    <w:rsid w:val="005637C1"/>
    <w:rsid w:val="00564246"/>
    <w:rsid w:val="0056425C"/>
    <w:rsid w:val="00567894"/>
    <w:rsid w:val="005710E8"/>
    <w:rsid w:val="005727B0"/>
    <w:rsid w:val="00575827"/>
    <w:rsid w:val="00575E97"/>
    <w:rsid w:val="005770DC"/>
    <w:rsid w:val="00577CBB"/>
    <w:rsid w:val="00585DE2"/>
    <w:rsid w:val="00587050"/>
    <w:rsid w:val="0058749A"/>
    <w:rsid w:val="00587ED9"/>
    <w:rsid w:val="005912D6"/>
    <w:rsid w:val="00591FE7"/>
    <w:rsid w:val="00594DDE"/>
    <w:rsid w:val="00595B33"/>
    <w:rsid w:val="00596341"/>
    <w:rsid w:val="005A22EC"/>
    <w:rsid w:val="005A2C0F"/>
    <w:rsid w:val="005A3F23"/>
    <w:rsid w:val="005B0448"/>
    <w:rsid w:val="005B1E54"/>
    <w:rsid w:val="005B64B8"/>
    <w:rsid w:val="005B7834"/>
    <w:rsid w:val="005B7E28"/>
    <w:rsid w:val="005C02FA"/>
    <w:rsid w:val="005C40E6"/>
    <w:rsid w:val="005C4302"/>
    <w:rsid w:val="005C597B"/>
    <w:rsid w:val="005C59BA"/>
    <w:rsid w:val="005C7FED"/>
    <w:rsid w:val="005D08FA"/>
    <w:rsid w:val="005D1622"/>
    <w:rsid w:val="005D1E75"/>
    <w:rsid w:val="005D483A"/>
    <w:rsid w:val="005E05D8"/>
    <w:rsid w:val="005E1235"/>
    <w:rsid w:val="005E4B37"/>
    <w:rsid w:val="005E506B"/>
    <w:rsid w:val="005E7033"/>
    <w:rsid w:val="005F07C1"/>
    <w:rsid w:val="005F119D"/>
    <w:rsid w:val="005F17C0"/>
    <w:rsid w:val="005F1F0E"/>
    <w:rsid w:val="005F3267"/>
    <w:rsid w:val="005F59AB"/>
    <w:rsid w:val="005F7336"/>
    <w:rsid w:val="0060124D"/>
    <w:rsid w:val="006033D2"/>
    <w:rsid w:val="0060344B"/>
    <w:rsid w:val="006043A7"/>
    <w:rsid w:val="00607BA8"/>
    <w:rsid w:val="006110B5"/>
    <w:rsid w:val="006140C9"/>
    <w:rsid w:val="0062374A"/>
    <w:rsid w:val="006238B6"/>
    <w:rsid w:val="006257CC"/>
    <w:rsid w:val="00625924"/>
    <w:rsid w:val="00625CF0"/>
    <w:rsid w:val="00626064"/>
    <w:rsid w:val="0062718A"/>
    <w:rsid w:val="00635B2A"/>
    <w:rsid w:val="00635DA5"/>
    <w:rsid w:val="00636FCF"/>
    <w:rsid w:val="00637225"/>
    <w:rsid w:val="00641134"/>
    <w:rsid w:val="006413A6"/>
    <w:rsid w:val="00642CBA"/>
    <w:rsid w:val="00642E8E"/>
    <w:rsid w:val="00643F98"/>
    <w:rsid w:val="00644EE3"/>
    <w:rsid w:val="006500BE"/>
    <w:rsid w:val="00654EE1"/>
    <w:rsid w:val="00657573"/>
    <w:rsid w:val="00663EA1"/>
    <w:rsid w:val="00664658"/>
    <w:rsid w:val="0066639A"/>
    <w:rsid w:val="00670D01"/>
    <w:rsid w:val="006734AB"/>
    <w:rsid w:val="006739D4"/>
    <w:rsid w:val="00674CAA"/>
    <w:rsid w:val="0068085C"/>
    <w:rsid w:val="00681E2E"/>
    <w:rsid w:val="00681F5A"/>
    <w:rsid w:val="00682AC8"/>
    <w:rsid w:val="00684FEB"/>
    <w:rsid w:val="00686379"/>
    <w:rsid w:val="00686CC4"/>
    <w:rsid w:val="00687898"/>
    <w:rsid w:val="00691FA9"/>
    <w:rsid w:val="006927EA"/>
    <w:rsid w:val="0069292F"/>
    <w:rsid w:val="00693079"/>
    <w:rsid w:val="0069389C"/>
    <w:rsid w:val="006956B5"/>
    <w:rsid w:val="006A09A2"/>
    <w:rsid w:val="006A3468"/>
    <w:rsid w:val="006A6235"/>
    <w:rsid w:val="006A6C3E"/>
    <w:rsid w:val="006B0296"/>
    <w:rsid w:val="006B3A55"/>
    <w:rsid w:val="006B3C15"/>
    <w:rsid w:val="006B598A"/>
    <w:rsid w:val="006B73D9"/>
    <w:rsid w:val="006B76C4"/>
    <w:rsid w:val="006C1373"/>
    <w:rsid w:val="006C2118"/>
    <w:rsid w:val="006C52F5"/>
    <w:rsid w:val="006C597B"/>
    <w:rsid w:val="006C6EB7"/>
    <w:rsid w:val="006D1DDD"/>
    <w:rsid w:val="006D2D92"/>
    <w:rsid w:val="006D40F3"/>
    <w:rsid w:val="006E0D1A"/>
    <w:rsid w:val="006E179C"/>
    <w:rsid w:val="006E2AD4"/>
    <w:rsid w:val="006E4FB7"/>
    <w:rsid w:val="006F0567"/>
    <w:rsid w:val="006F2D9C"/>
    <w:rsid w:val="006F30DA"/>
    <w:rsid w:val="006F50A9"/>
    <w:rsid w:val="006F76DC"/>
    <w:rsid w:val="00700781"/>
    <w:rsid w:val="00702273"/>
    <w:rsid w:val="007042E0"/>
    <w:rsid w:val="00705022"/>
    <w:rsid w:val="00705410"/>
    <w:rsid w:val="00705722"/>
    <w:rsid w:val="00707461"/>
    <w:rsid w:val="00707C4F"/>
    <w:rsid w:val="007133A5"/>
    <w:rsid w:val="00713BBF"/>
    <w:rsid w:val="007158F3"/>
    <w:rsid w:val="00720EC8"/>
    <w:rsid w:val="007225EC"/>
    <w:rsid w:val="007227CC"/>
    <w:rsid w:val="007267B4"/>
    <w:rsid w:val="00727AB9"/>
    <w:rsid w:val="00731D0C"/>
    <w:rsid w:val="00732B61"/>
    <w:rsid w:val="0073567E"/>
    <w:rsid w:val="00741895"/>
    <w:rsid w:val="00743A2D"/>
    <w:rsid w:val="0074451B"/>
    <w:rsid w:val="0074483A"/>
    <w:rsid w:val="007478F4"/>
    <w:rsid w:val="007504CC"/>
    <w:rsid w:val="00752711"/>
    <w:rsid w:val="00754658"/>
    <w:rsid w:val="00754FCE"/>
    <w:rsid w:val="007559FD"/>
    <w:rsid w:val="007561EF"/>
    <w:rsid w:val="0075753B"/>
    <w:rsid w:val="00757D5A"/>
    <w:rsid w:val="007635CF"/>
    <w:rsid w:val="00771D4A"/>
    <w:rsid w:val="00776CBE"/>
    <w:rsid w:val="00777A36"/>
    <w:rsid w:val="007819AD"/>
    <w:rsid w:val="007821B0"/>
    <w:rsid w:val="00782FCD"/>
    <w:rsid w:val="00783399"/>
    <w:rsid w:val="00784EB3"/>
    <w:rsid w:val="007867AA"/>
    <w:rsid w:val="00786C32"/>
    <w:rsid w:val="007875A3"/>
    <w:rsid w:val="007915C3"/>
    <w:rsid w:val="00791ACF"/>
    <w:rsid w:val="00792719"/>
    <w:rsid w:val="0079694E"/>
    <w:rsid w:val="00796C3C"/>
    <w:rsid w:val="0079713F"/>
    <w:rsid w:val="007A0B52"/>
    <w:rsid w:val="007A0FD8"/>
    <w:rsid w:val="007A486D"/>
    <w:rsid w:val="007B06EA"/>
    <w:rsid w:val="007B417B"/>
    <w:rsid w:val="007B4AC0"/>
    <w:rsid w:val="007B5304"/>
    <w:rsid w:val="007B56B8"/>
    <w:rsid w:val="007B6528"/>
    <w:rsid w:val="007B77C9"/>
    <w:rsid w:val="007C5704"/>
    <w:rsid w:val="007C78A9"/>
    <w:rsid w:val="007C7930"/>
    <w:rsid w:val="007D3C2E"/>
    <w:rsid w:val="007E1EE9"/>
    <w:rsid w:val="007E4EE9"/>
    <w:rsid w:val="007E74BC"/>
    <w:rsid w:val="007F2DED"/>
    <w:rsid w:val="007F2F4B"/>
    <w:rsid w:val="007F6366"/>
    <w:rsid w:val="00800691"/>
    <w:rsid w:val="00801451"/>
    <w:rsid w:val="00803827"/>
    <w:rsid w:val="008043C6"/>
    <w:rsid w:val="00804414"/>
    <w:rsid w:val="00805928"/>
    <w:rsid w:val="00806B6E"/>
    <w:rsid w:val="008107BD"/>
    <w:rsid w:val="00810F7A"/>
    <w:rsid w:val="00811D42"/>
    <w:rsid w:val="00813F7E"/>
    <w:rsid w:val="008158D1"/>
    <w:rsid w:val="00816EA9"/>
    <w:rsid w:val="00824CB1"/>
    <w:rsid w:val="00827038"/>
    <w:rsid w:val="0082781C"/>
    <w:rsid w:val="0083540C"/>
    <w:rsid w:val="00837839"/>
    <w:rsid w:val="0084041A"/>
    <w:rsid w:val="008448DC"/>
    <w:rsid w:val="008475A8"/>
    <w:rsid w:val="00850E06"/>
    <w:rsid w:val="00851E9E"/>
    <w:rsid w:val="00861863"/>
    <w:rsid w:val="00862278"/>
    <w:rsid w:val="00862D82"/>
    <w:rsid w:val="0086454F"/>
    <w:rsid w:val="00865667"/>
    <w:rsid w:val="008673F9"/>
    <w:rsid w:val="00870E5E"/>
    <w:rsid w:val="00872B06"/>
    <w:rsid w:val="008756BF"/>
    <w:rsid w:val="0087632D"/>
    <w:rsid w:val="00876F60"/>
    <w:rsid w:val="00886689"/>
    <w:rsid w:val="00887DE2"/>
    <w:rsid w:val="00891FE9"/>
    <w:rsid w:val="00895780"/>
    <w:rsid w:val="008960DD"/>
    <w:rsid w:val="00897A6C"/>
    <w:rsid w:val="008A41DD"/>
    <w:rsid w:val="008A461D"/>
    <w:rsid w:val="008A4E9C"/>
    <w:rsid w:val="008A50CC"/>
    <w:rsid w:val="008B14CA"/>
    <w:rsid w:val="008B1DB4"/>
    <w:rsid w:val="008B33C1"/>
    <w:rsid w:val="008B415E"/>
    <w:rsid w:val="008C0141"/>
    <w:rsid w:val="008C0561"/>
    <w:rsid w:val="008C0AD6"/>
    <w:rsid w:val="008C1884"/>
    <w:rsid w:val="008C57F6"/>
    <w:rsid w:val="008C735B"/>
    <w:rsid w:val="008D12A7"/>
    <w:rsid w:val="008D32E3"/>
    <w:rsid w:val="008D3BE1"/>
    <w:rsid w:val="008D48B3"/>
    <w:rsid w:val="008D51BB"/>
    <w:rsid w:val="008E0186"/>
    <w:rsid w:val="008E09C7"/>
    <w:rsid w:val="008E33EB"/>
    <w:rsid w:val="008E5109"/>
    <w:rsid w:val="008E7AC9"/>
    <w:rsid w:val="008F0C47"/>
    <w:rsid w:val="008F11B7"/>
    <w:rsid w:val="00900CA5"/>
    <w:rsid w:val="009017D9"/>
    <w:rsid w:val="00903B5C"/>
    <w:rsid w:val="0090591E"/>
    <w:rsid w:val="009111E0"/>
    <w:rsid w:val="009111ED"/>
    <w:rsid w:val="0091273E"/>
    <w:rsid w:val="00912EEA"/>
    <w:rsid w:val="00917CAA"/>
    <w:rsid w:val="009203D8"/>
    <w:rsid w:val="00935DF9"/>
    <w:rsid w:val="009403BC"/>
    <w:rsid w:val="00941D75"/>
    <w:rsid w:val="00942D31"/>
    <w:rsid w:val="0094543C"/>
    <w:rsid w:val="0095101A"/>
    <w:rsid w:val="0095134E"/>
    <w:rsid w:val="0095289C"/>
    <w:rsid w:val="00953E90"/>
    <w:rsid w:val="00954DA0"/>
    <w:rsid w:val="00956AAF"/>
    <w:rsid w:val="009612D3"/>
    <w:rsid w:val="00962872"/>
    <w:rsid w:val="00963698"/>
    <w:rsid w:val="00965071"/>
    <w:rsid w:val="0096619E"/>
    <w:rsid w:val="0097246D"/>
    <w:rsid w:val="0097266A"/>
    <w:rsid w:val="0097342D"/>
    <w:rsid w:val="00974896"/>
    <w:rsid w:val="0097573E"/>
    <w:rsid w:val="0097690B"/>
    <w:rsid w:val="00976C51"/>
    <w:rsid w:val="009779EC"/>
    <w:rsid w:val="009820E8"/>
    <w:rsid w:val="00982E35"/>
    <w:rsid w:val="009830D4"/>
    <w:rsid w:val="009842B6"/>
    <w:rsid w:val="00984E45"/>
    <w:rsid w:val="00986263"/>
    <w:rsid w:val="009869A5"/>
    <w:rsid w:val="00987453"/>
    <w:rsid w:val="009915A3"/>
    <w:rsid w:val="009924B3"/>
    <w:rsid w:val="009949FC"/>
    <w:rsid w:val="009A02E0"/>
    <w:rsid w:val="009A0BEB"/>
    <w:rsid w:val="009A15B8"/>
    <w:rsid w:val="009A3407"/>
    <w:rsid w:val="009A4088"/>
    <w:rsid w:val="009A7C2F"/>
    <w:rsid w:val="009B2DE9"/>
    <w:rsid w:val="009B357D"/>
    <w:rsid w:val="009B56CF"/>
    <w:rsid w:val="009B57D6"/>
    <w:rsid w:val="009B59D7"/>
    <w:rsid w:val="009B6DF1"/>
    <w:rsid w:val="009C1B44"/>
    <w:rsid w:val="009C20CC"/>
    <w:rsid w:val="009C2848"/>
    <w:rsid w:val="009C36CF"/>
    <w:rsid w:val="009C6653"/>
    <w:rsid w:val="009C704C"/>
    <w:rsid w:val="009C791E"/>
    <w:rsid w:val="009D0C73"/>
    <w:rsid w:val="009D1D9A"/>
    <w:rsid w:val="009D4013"/>
    <w:rsid w:val="009D7FD4"/>
    <w:rsid w:val="009E0600"/>
    <w:rsid w:val="009E2067"/>
    <w:rsid w:val="009E22BA"/>
    <w:rsid w:val="009E41B2"/>
    <w:rsid w:val="009E4B13"/>
    <w:rsid w:val="009E51C5"/>
    <w:rsid w:val="009E5A29"/>
    <w:rsid w:val="009E5D0A"/>
    <w:rsid w:val="009E62AF"/>
    <w:rsid w:val="009F1B42"/>
    <w:rsid w:val="009F2A2F"/>
    <w:rsid w:val="009F2C0A"/>
    <w:rsid w:val="00A00AED"/>
    <w:rsid w:val="00A01D28"/>
    <w:rsid w:val="00A02499"/>
    <w:rsid w:val="00A02F5A"/>
    <w:rsid w:val="00A05230"/>
    <w:rsid w:val="00A05C22"/>
    <w:rsid w:val="00A0635C"/>
    <w:rsid w:val="00A0676B"/>
    <w:rsid w:val="00A06A9D"/>
    <w:rsid w:val="00A16E91"/>
    <w:rsid w:val="00A17C56"/>
    <w:rsid w:val="00A20B49"/>
    <w:rsid w:val="00A21B9B"/>
    <w:rsid w:val="00A22C85"/>
    <w:rsid w:val="00A258F0"/>
    <w:rsid w:val="00A25DD0"/>
    <w:rsid w:val="00A268DE"/>
    <w:rsid w:val="00A27CFD"/>
    <w:rsid w:val="00A30ADA"/>
    <w:rsid w:val="00A30CDD"/>
    <w:rsid w:val="00A32C56"/>
    <w:rsid w:val="00A3567B"/>
    <w:rsid w:val="00A358B8"/>
    <w:rsid w:val="00A365AB"/>
    <w:rsid w:val="00A379F9"/>
    <w:rsid w:val="00A45987"/>
    <w:rsid w:val="00A4603B"/>
    <w:rsid w:val="00A476BA"/>
    <w:rsid w:val="00A50E03"/>
    <w:rsid w:val="00A563E0"/>
    <w:rsid w:val="00A56892"/>
    <w:rsid w:val="00A56E5B"/>
    <w:rsid w:val="00A64486"/>
    <w:rsid w:val="00A655FE"/>
    <w:rsid w:val="00A73999"/>
    <w:rsid w:val="00A740EF"/>
    <w:rsid w:val="00A76671"/>
    <w:rsid w:val="00A83784"/>
    <w:rsid w:val="00A85849"/>
    <w:rsid w:val="00A90F90"/>
    <w:rsid w:val="00A91427"/>
    <w:rsid w:val="00A93EED"/>
    <w:rsid w:val="00A9547A"/>
    <w:rsid w:val="00A96731"/>
    <w:rsid w:val="00A96C59"/>
    <w:rsid w:val="00AA0323"/>
    <w:rsid w:val="00AA1711"/>
    <w:rsid w:val="00AA53AA"/>
    <w:rsid w:val="00AA6123"/>
    <w:rsid w:val="00AA6203"/>
    <w:rsid w:val="00AA6662"/>
    <w:rsid w:val="00AA73ED"/>
    <w:rsid w:val="00AB3E52"/>
    <w:rsid w:val="00AB4C78"/>
    <w:rsid w:val="00AC37A6"/>
    <w:rsid w:val="00AC603A"/>
    <w:rsid w:val="00AC6A97"/>
    <w:rsid w:val="00AC700F"/>
    <w:rsid w:val="00AD0659"/>
    <w:rsid w:val="00AD0944"/>
    <w:rsid w:val="00AD10A2"/>
    <w:rsid w:val="00AD2356"/>
    <w:rsid w:val="00AD2E28"/>
    <w:rsid w:val="00AD3290"/>
    <w:rsid w:val="00AF087C"/>
    <w:rsid w:val="00AF089D"/>
    <w:rsid w:val="00AF1A17"/>
    <w:rsid w:val="00AF299E"/>
    <w:rsid w:val="00AF5A5F"/>
    <w:rsid w:val="00AF6DFE"/>
    <w:rsid w:val="00AF74B0"/>
    <w:rsid w:val="00B01605"/>
    <w:rsid w:val="00B0179C"/>
    <w:rsid w:val="00B02785"/>
    <w:rsid w:val="00B06091"/>
    <w:rsid w:val="00B104C0"/>
    <w:rsid w:val="00B12FC3"/>
    <w:rsid w:val="00B13096"/>
    <w:rsid w:val="00B158CE"/>
    <w:rsid w:val="00B15C58"/>
    <w:rsid w:val="00B15CD8"/>
    <w:rsid w:val="00B17329"/>
    <w:rsid w:val="00B22392"/>
    <w:rsid w:val="00B237A3"/>
    <w:rsid w:val="00B25481"/>
    <w:rsid w:val="00B2749F"/>
    <w:rsid w:val="00B277A6"/>
    <w:rsid w:val="00B33209"/>
    <w:rsid w:val="00B33383"/>
    <w:rsid w:val="00B372F2"/>
    <w:rsid w:val="00B41A56"/>
    <w:rsid w:val="00B42A45"/>
    <w:rsid w:val="00B440A5"/>
    <w:rsid w:val="00B46ACF"/>
    <w:rsid w:val="00B51A86"/>
    <w:rsid w:val="00B51E9A"/>
    <w:rsid w:val="00B525E1"/>
    <w:rsid w:val="00B53EEA"/>
    <w:rsid w:val="00B55821"/>
    <w:rsid w:val="00B608F6"/>
    <w:rsid w:val="00B60ED3"/>
    <w:rsid w:val="00B63617"/>
    <w:rsid w:val="00B64DB5"/>
    <w:rsid w:val="00B65D78"/>
    <w:rsid w:val="00B70ED9"/>
    <w:rsid w:val="00B72B03"/>
    <w:rsid w:val="00B75AA4"/>
    <w:rsid w:val="00B81017"/>
    <w:rsid w:val="00B8533C"/>
    <w:rsid w:val="00B866F8"/>
    <w:rsid w:val="00B877CD"/>
    <w:rsid w:val="00B87ECF"/>
    <w:rsid w:val="00B90512"/>
    <w:rsid w:val="00B93A70"/>
    <w:rsid w:val="00BA721F"/>
    <w:rsid w:val="00BA74CE"/>
    <w:rsid w:val="00BA7C40"/>
    <w:rsid w:val="00BB0BD8"/>
    <w:rsid w:val="00BB4832"/>
    <w:rsid w:val="00BB59DD"/>
    <w:rsid w:val="00BC2F2E"/>
    <w:rsid w:val="00BC58E3"/>
    <w:rsid w:val="00BC5A6B"/>
    <w:rsid w:val="00BD0275"/>
    <w:rsid w:val="00BD6AA8"/>
    <w:rsid w:val="00BE2F77"/>
    <w:rsid w:val="00BE3410"/>
    <w:rsid w:val="00BE343E"/>
    <w:rsid w:val="00BE3C10"/>
    <w:rsid w:val="00BE47A3"/>
    <w:rsid w:val="00BF2154"/>
    <w:rsid w:val="00BF3D17"/>
    <w:rsid w:val="00BF629C"/>
    <w:rsid w:val="00C00657"/>
    <w:rsid w:val="00C01AB8"/>
    <w:rsid w:val="00C03B17"/>
    <w:rsid w:val="00C03C2A"/>
    <w:rsid w:val="00C05615"/>
    <w:rsid w:val="00C05D91"/>
    <w:rsid w:val="00C06FF7"/>
    <w:rsid w:val="00C1181D"/>
    <w:rsid w:val="00C13280"/>
    <w:rsid w:val="00C13D89"/>
    <w:rsid w:val="00C13E32"/>
    <w:rsid w:val="00C14D3F"/>
    <w:rsid w:val="00C14FDD"/>
    <w:rsid w:val="00C17AE7"/>
    <w:rsid w:val="00C27657"/>
    <w:rsid w:val="00C30183"/>
    <w:rsid w:val="00C31243"/>
    <w:rsid w:val="00C3300C"/>
    <w:rsid w:val="00C33029"/>
    <w:rsid w:val="00C338EA"/>
    <w:rsid w:val="00C33B85"/>
    <w:rsid w:val="00C35C45"/>
    <w:rsid w:val="00C36814"/>
    <w:rsid w:val="00C37795"/>
    <w:rsid w:val="00C40539"/>
    <w:rsid w:val="00C4214E"/>
    <w:rsid w:val="00C4283D"/>
    <w:rsid w:val="00C50284"/>
    <w:rsid w:val="00C525BF"/>
    <w:rsid w:val="00C550F8"/>
    <w:rsid w:val="00C560C2"/>
    <w:rsid w:val="00C57ABB"/>
    <w:rsid w:val="00C57B3C"/>
    <w:rsid w:val="00C60E30"/>
    <w:rsid w:val="00C62140"/>
    <w:rsid w:val="00C63682"/>
    <w:rsid w:val="00C64864"/>
    <w:rsid w:val="00C67EB8"/>
    <w:rsid w:val="00C70622"/>
    <w:rsid w:val="00C70ECB"/>
    <w:rsid w:val="00C718E8"/>
    <w:rsid w:val="00C726F9"/>
    <w:rsid w:val="00C738CA"/>
    <w:rsid w:val="00C766F3"/>
    <w:rsid w:val="00C806C1"/>
    <w:rsid w:val="00C84EAD"/>
    <w:rsid w:val="00C878E4"/>
    <w:rsid w:val="00C91323"/>
    <w:rsid w:val="00CA006F"/>
    <w:rsid w:val="00CA11AC"/>
    <w:rsid w:val="00CA408B"/>
    <w:rsid w:val="00CA66DB"/>
    <w:rsid w:val="00CA7BDA"/>
    <w:rsid w:val="00CB5812"/>
    <w:rsid w:val="00CB5DE3"/>
    <w:rsid w:val="00CB7350"/>
    <w:rsid w:val="00CC1BA9"/>
    <w:rsid w:val="00CC2E77"/>
    <w:rsid w:val="00CC38B9"/>
    <w:rsid w:val="00CC4F7C"/>
    <w:rsid w:val="00CD01C2"/>
    <w:rsid w:val="00CD1574"/>
    <w:rsid w:val="00CD4AF4"/>
    <w:rsid w:val="00CD6B55"/>
    <w:rsid w:val="00CD7D5D"/>
    <w:rsid w:val="00CE5822"/>
    <w:rsid w:val="00CE692D"/>
    <w:rsid w:val="00CE7920"/>
    <w:rsid w:val="00CF160B"/>
    <w:rsid w:val="00CF24E9"/>
    <w:rsid w:val="00CF7DB9"/>
    <w:rsid w:val="00D00F17"/>
    <w:rsid w:val="00D04118"/>
    <w:rsid w:val="00D049C9"/>
    <w:rsid w:val="00D0589C"/>
    <w:rsid w:val="00D05C8D"/>
    <w:rsid w:val="00D06D3D"/>
    <w:rsid w:val="00D116D6"/>
    <w:rsid w:val="00D1352E"/>
    <w:rsid w:val="00D14EE3"/>
    <w:rsid w:val="00D16FDD"/>
    <w:rsid w:val="00D20A9B"/>
    <w:rsid w:val="00D2277C"/>
    <w:rsid w:val="00D23145"/>
    <w:rsid w:val="00D23E26"/>
    <w:rsid w:val="00D251C2"/>
    <w:rsid w:val="00D25474"/>
    <w:rsid w:val="00D312CB"/>
    <w:rsid w:val="00D316DA"/>
    <w:rsid w:val="00D31C2A"/>
    <w:rsid w:val="00D322AB"/>
    <w:rsid w:val="00D32F51"/>
    <w:rsid w:val="00D33D78"/>
    <w:rsid w:val="00D35813"/>
    <w:rsid w:val="00D3679E"/>
    <w:rsid w:val="00D37062"/>
    <w:rsid w:val="00D403BF"/>
    <w:rsid w:val="00D40784"/>
    <w:rsid w:val="00D524B7"/>
    <w:rsid w:val="00D54CB4"/>
    <w:rsid w:val="00D5567F"/>
    <w:rsid w:val="00D577BA"/>
    <w:rsid w:val="00D64B06"/>
    <w:rsid w:val="00D72695"/>
    <w:rsid w:val="00D752CA"/>
    <w:rsid w:val="00D758AE"/>
    <w:rsid w:val="00D85CA5"/>
    <w:rsid w:val="00D87869"/>
    <w:rsid w:val="00D92367"/>
    <w:rsid w:val="00D9283C"/>
    <w:rsid w:val="00D9320A"/>
    <w:rsid w:val="00D94C4D"/>
    <w:rsid w:val="00D95B09"/>
    <w:rsid w:val="00D9651F"/>
    <w:rsid w:val="00D9711D"/>
    <w:rsid w:val="00DA335E"/>
    <w:rsid w:val="00DA49FE"/>
    <w:rsid w:val="00DA554F"/>
    <w:rsid w:val="00DA6B2E"/>
    <w:rsid w:val="00DA6D9B"/>
    <w:rsid w:val="00DA7947"/>
    <w:rsid w:val="00DB406A"/>
    <w:rsid w:val="00DB6243"/>
    <w:rsid w:val="00DB7159"/>
    <w:rsid w:val="00DB7AA0"/>
    <w:rsid w:val="00DB7AF5"/>
    <w:rsid w:val="00DC0003"/>
    <w:rsid w:val="00DC3789"/>
    <w:rsid w:val="00DC58D1"/>
    <w:rsid w:val="00DC79E1"/>
    <w:rsid w:val="00DD46CE"/>
    <w:rsid w:val="00DD51CA"/>
    <w:rsid w:val="00DD5D3C"/>
    <w:rsid w:val="00DD6B55"/>
    <w:rsid w:val="00DE0567"/>
    <w:rsid w:val="00DE1816"/>
    <w:rsid w:val="00DE24B7"/>
    <w:rsid w:val="00DE3AC8"/>
    <w:rsid w:val="00DE4C84"/>
    <w:rsid w:val="00DE4E5A"/>
    <w:rsid w:val="00DE6616"/>
    <w:rsid w:val="00DF04DD"/>
    <w:rsid w:val="00DF439E"/>
    <w:rsid w:val="00DF5141"/>
    <w:rsid w:val="00E1228A"/>
    <w:rsid w:val="00E143E2"/>
    <w:rsid w:val="00E15510"/>
    <w:rsid w:val="00E17AE1"/>
    <w:rsid w:val="00E232D7"/>
    <w:rsid w:val="00E257BA"/>
    <w:rsid w:val="00E30058"/>
    <w:rsid w:val="00E306F6"/>
    <w:rsid w:val="00E31F75"/>
    <w:rsid w:val="00E34307"/>
    <w:rsid w:val="00E36C6E"/>
    <w:rsid w:val="00E43441"/>
    <w:rsid w:val="00E44770"/>
    <w:rsid w:val="00E47EC0"/>
    <w:rsid w:val="00E52C62"/>
    <w:rsid w:val="00E54360"/>
    <w:rsid w:val="00E5442E"/>
    <w:rsid w:val="00E54843"/>
    <w:rsid w:val="00E55175"/>
    <w:rsid w:val="00E55E8D"/>
    <w:rsid w:val="00E610D8"/>
    <w:rsid w:val="00E61C7F"/>
    <w:rsid w:val="00E73662"/>
    <w:rsid w:val="00E7376C"/>
    <w:rsid w:val="00E738A4"/>
    <w:rsid w:val="00E752E8"/>
    <w:rsid w:val="00E75CE8"/>
    <w:rsid w:val="00E7625A"/>
    <w:rsid w:val="00E77123"/>
    <w:rsid w:val="00E823A4"/>
    <w:rsid w:val="00E82BB3"/>
    <w:rsid w:val="00E844B1"/>
    <w:rsid w:val="00E86B83"/>
    <w:rsid w:val="00E87A3D"/>
    <w:rsid w:val="00E87AF9"/>
    <w:rsid w:val="00E94101"/>
    <w:rsid w:val="00E961D0"/>
    <w:rsid w:val="00EA225D"/>
    <w:rsid w:val="00EA3876"/>
    <w:rsid w:val="00EA4404"/>
    <w:rsid w:val="00EA5149"/>
    <w:rsid w:val="00EA58DD"/>
    <w:rsid w:val="00EA67DA"/>
    <w:rsid w:val="00EA70E6"/>
    <w:rsid w:val="00EA75D9"/>
    <w:rsid w:val="00EB0F8F"/>
    <w:rsid w:val="00EB354D"/>
    <w:rsid w:val="00EB47D7"/>
    <w:rsid w:val="00EB6DFC"/>
    <w:rsid w:val="00EB7A9C"/>
    <w:rsid w:val="00EC1D5A"/>
    <w:rsid w:val="00EC220D"/>
    <w:rsid w:val="00EC2A1B"/>
    <w:rsid w:val="00EC71EF"/>
    <w:rsid w:val="00EC7D35"/>
    <w:rsid w:val="00ED0318"/>
    <w:rsid w:val="00ED0BC7"/>
    <w:rsid w:val="00ED3471"/>
    <w:rsid w:val="00ED4F4B"/>
    <w:rsid w:val="00ED5083"/>
    <w:rsid w:val="00EE0404"/>
    <w:rsid w:val="00EE041F"/>
    <w:rsid w:val="00EF4320"/>
    <w:rsid w:val="00EF43E5"/>
    <w:rsid w:val="00EF477F"/>
    <w:rsid w:val="00EF4918"/>
    <w:rsid w:val="00EF6C0A"/>
    <w:rsid w:val="00EF6E14"/>
    <w:rsid w:val="00EF7FD6"/>
    <w:rsid w:val="00F007AB"/>
    <w:rsid w:val="00F02CE0"/>
    <w:rsid w:val="00F0525D"/>
    <w:rsid w:val="00F06700"/>
    <w:rsid w:val="00F06D7D"/>
    <w:rsid w:val="00F15994"/>
    <w:rsid w:val="00F15BAF"/>
    <w:rsid w:val="00F15C86"/>
    <w:rsid w:val="00F16AB9"/>
    <w:rsid w:val="00F22872"/>
    <w:rsid w:val="00F23B24"/>
    <w:rsid w:val="00F275D8"/>
    <w:rsid w:val="00F27B37"/>
    <w:rsid w:val="00F27CCC"/>
    <w:rsid w:val="00F32597"/>
    <w:rsid w:val="00F33A08"/>
    <w:rsid w:val="00F34618"/>
    <w:rsid w:val="00F374E5"/>
    <w:rsid w:val="00F37C83"/>
    <w:rsid w:val="00F43629"/>
    <w:rsid w:val="00F43D57"/>
    <w:rsid w:val="00F43FC8"/>
    <w:rsid w:val="00F45BC8"/>
    <w:rsid w:val="00F46E2E"/>
    <w:rsid w:val="00F470E9"/>
    <w:rsid w:val="00F527A0"/>
    <w:rsid w:val="00F52F15"/>
    <w:rsid w:val="00F555C1"/>
    <w:rsid w:val="00F602C4"/>
    <w:rsid w:val="00F61CFC"/>
    <w:rsid w:val="00F61F32"/>
    <w:rsid w:val="00F63ADF"/>
    <w:rsid w:val="00F65E03"/>
    <w:rsid w:val="00F66E97"/>
    <w:rsid w:val="00F703DF"/>
    <w:rsid w:val="00F70FA7"/>
    <w:rsid w:val="00F82988"/>
    <w:rsid w:val="00F833F2"/>
    <w:rsid w:val="00F85FEA"/>
    <w:rsid w:val="00F87CA1"/>
    <w:rsid w:val="00F91306"/>
    <w:rsid w:val="00F91E96"/>
    <w:rsid w:val="00F93EC4"/>
    <w:rsid w:val="00F94735"/>
    <w:rsid w:val="00F94944"/>
    <w:rsid w:val="00F94CA4"/>
    <w:rsid w:val="00F960C4"/>
    <w:rsid w:val="00F96E4A"/>
    <w:rsid w:val="00FA11B1"/>
    <w:rsid w:val="00FA30EC"/>
    <w:rsid w:val="00FA4B33"/>
    <w:rsid w:val="00FA6F18"/>
    <w:rsid w:val="00FB0E19"/>
    <w:rsid w:val="00FB16FB"/>
    <w:rsid w:val="00FB2573"/>
    <w:rsid w:val="00FB37AA"/>
    <w:rsid w:val="00FB7F89"/>
    <w:rsid w:val="00FC2C6C"/>
    <w:rsid w:val="00FC3AAD"/>
    <w:rsid w:val="00FC4CA4"/>
    <w:rsid w:val="00FD3CBE"/>
    <w:rsid w:val="00FD7D27"/>
    <w:rsid w:val="00FE424F"/>
    <w:rsid w:val="00FE4E27"/>
    <w:rsid w:val="00FE5E40"/>
    <w:rsid w:val="00FE6BEA"/>
    <w:rsid w:val="00FF08BF"/>
    <w:rsid w:val="00FF1198"/>
    <w:rsid w:val="00FF4174"/>
    <w:rsid w:val="00FF7B6A"/>
    <w:rsid w:val="014E6CF8"/>
    <w:rsid w:val="032B5AF8"/>
    <w:rsid w:val="03460CD9"/>
    <w:rsid w:val="06E75409"/>
    <w:rsid w:val="073B51B7"/>
    <w:rsid w:val="0797103D"/>
    <w:rsid w:val="0BD80406"/>
    <w:rsid w:val="0C611D5D"/>
    <w:rsid w:val="0C7327EB"/>
    <w:rsid w:val="0C8063E7"/>
    <w:rsid w:val="0C9F7A36"/>
    <w:rsid w:val="0CAC517A"/>
    <w:rsid w:val="0DB03D55"/>
    <w:rsid w:val="0EB86E27"/>
    <w:rsid w:val="10F93F06"/>
    <w:rsid w:val="15B80698"/>
    <w:rsid w:val="172F2F59"/>
    <w:rsid w:val="179D1EDB"/>
    <w:rsid w:val="1A9637AF"/>
    <w:rsid w:val="1BDE13C1"/>
    <w:rsid w:val="1C191887"/>
    <w:rsid w:val="1CE47554"/>
    <w:rsid w:val="1CF90154"/>
    <w:rsid w:val="206A1B36"/>
    <w:rsid w:val="208D2895"/>
    <w:rsid w:val="220B6B38"/>
    <w:rsid w:val="25C82A4C"/>
    <w:rsid w:val="27DD2B84"/>
    <w:rsid w:val="29C23C24"/>
    <w:rsid w:val="2C0A1A64"/>
    <w:rsid w:val="2C9456EE"/>
    <w:rsid w:val="2D00084B"/>
    <w:rsid w:val="2DA26642"/>
    <w:rsid w:val="2F172B1B"/>
    <w:rsid w:val="2F817BE3"/>
    <w:rsid w:val="33375694"/>
    <w:rsid w:val="35BF67E2"/>
    <w:rsid w:val="361B6516"/>
    <w:rsid w:val="36232246"/>
    <w:rsid w:val="37FF69FD"/>
    <w:rsid w:val="384D221C"/>
    <w:rsid w:val="388131BD"/>
    <w:rsid w:val="394D4F22"/>
    <w:rsid w:val="3AE85EBF"/>
    <w:rsid w:val="3B231DB6"/>
    <w:rsid w:val="3DD07A46"/>
    <w:rsid w:val="3F0C1CD5"/>
    <w:rsid w:val="41C77FE8"/>
    <w:rsid w:val="44122E34"/>
    <w:rsid w:val="454D7EEF"/>
    <w:rsid w:val="45F762BD"/>
    <w:rsid w:val="4AB560CE"/>
    <w:rsid w:val="4C274BC2"/>
    <w:rsid w:val="4E080B51"/>
    <w:rsid w:val="4ECF4E8E"/>
    <w:rsid w:val="50CB1798"/>
    <w:rsid w:val="50CE4754"/>
    <w:rsid w:val="513D70DA"/>
    <w:rsid w:val="51511898"/>
    <w:rsid w:val="52634A96"/>
    <w:rsid w:val="598072CA"/>
    <w:rsid w:val="5CB069F1"/>
    <w:rsid w:val="5E465936"/>
    <w:rsid w:val="5EBC12FA"/>
    <w:rsid w:val="5F961379"/>
    <w:rsid w:val="5FBB761D"/>
    <w:rsid w:val="60772018"/>
    <w:rsid w:val="612F3F66"/>
    <w:rsid w:val="63896613"/>
    <w:rsid w:val="66DE0B02"/>
    <w:rsid w:val="679F325F"/>
    <w:rsid w:val="67FD5967"/>
    <w:rsid w:val="6A475D4D"/>
    <w:rsid w:val="6AEF312F"/>
    <w:rsid w:val="6AF6068B"/>
    <w:rsid w:val="6BB67446"/>
    <w:rsid w:val="6E9D6E14"/>
    <w:rsid w:val="6ED274D6"/>
    <w:rsid w:val="6EE72672"/>
    <w:rsid w:val="715603A1"/>
    <w:rsid w:val="719A4CC7"/>
    <w:rsid w:val="723877B1"/>
    <w:rsid w:val="72AE00E5"/>
    <w:rsid w:val="72E8428C"/>
    <w:rsid w:val="75BD6C28"/>
    <w:rsid w:val="75E8386D"/>
    <w:rsid w:val="767A4544"/>
    <w:rsid w:val="787248B0"/>
    <w:rsid w:val="79B32B63"/>
    <w:rsid w:val="7A0D7DD8"/>
    <w:rsid w:val="7C60038E"/>
    <w:rsid w:val="7F6762BE"/>
    <w:rsid w:val="7F9B79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宋体" w:cs="Times New Roman"/>
      <w:sz w:val="24"/>
      <w:szCs w:val="24"/>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qFormat/>
    <w:uiPriority w:val="0"/>
    <w:pPr>
      <w:ind w:left="100" w:leftChars="2500"/>
    </w:pPr>
  </w:style>
  <w:style w:type="paragraph" w:styleId="3">
    <w:name w:val="Balloon Text"/>
    <w:basedOn w:val="1"/>
    <w:link w:val="23"/>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style>
  <w:style w:type="table" w:styleId="8">
    <w:name w:val="Table Grid"/>
    <w:basedOn w:val="7"/>
    <w:qFormat/>
    <w:uiPriority w:val="0"/>
    <w:rPr>
      <w:rFonts w:hint="eastAsia"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10">
    <w:name w:val="Strong"/>
    <w:basedOn w:val="9"/>
    <w:qFormat/>
    <w:uiPriority w:val="22"/>
    <w:rPr>
      <w:b/>
      <w:bCs/>
    </w:rPr>
  </w:style>
  <w:style w:type="character" w:styleId="11">
    <w:name w:val="Hyperlink"/>
    <w:basedOn w:val="9"/>
    <w:unhideWhenUsed/>
    <w:qFormat/>
    <w:uiPriority w:val="0"/>
    <w:rPr>
      <w:color w:val="0563C1" w:themeColor="hyperlink"/>
      <w:u w:val="single"/>
    </w:rPr>
  </w:style>
  <w:style w:type="character" w:styleId="12">
    <w:name w:val="footnote reference"/>
    <w:semiHidden/>
    <w:qFormat/>
    <w:uiPriority w:val="0"/>
    <w:rPr>
      <w:vertAlign w:val="superscript"/>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二级无"/>
    <w:basedOn w:val="15"/>
    <w:qFormat/>
    <w:uiPriority w:val="0"/>
    <w:pPr>
      <w:spacing w:beforeLines="0" w:afterLines="0"/>
    </w:pPr>
    <w:rPr>
      <w:rFonts w:ascii="宋体" w:eastAsia="宋体"/>
    </w:rPr>
  </w:style>
  <w:style w:type="paragraph" w:customStyle="1" w:styleId="15">
    <w:name w:val="二级条标题"/>
    <w:basedOn w:val="16"/>
    <w:next w:val="13"/>
    <w:qFormat/>
    <w:uiPriority w:val="0"/>
    <w:pPr>
      <w:numPr>
        <w:ilvl w:val="2"/>
      </w:numPr>
      <w:spacing w:before="50" w:after="50"/>
      <w:outlineLvl w:val="3"/>
    </w:pPr>
  </w:style>
  <w:style w:type="paragraph" w:customStyle="1" w:styleId="16">
    <w:name w:val="一级条标题"/>
    <w:next w:val="13"/>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17">
    <w:name w:val="一级无"/>
    <w:basedOn w:val="16"/>
    <w:qFormat/>
    <w:uiPriority w:val="0"/>
    <w:pPr>
      <w:spacing w:beforeLines="0" w:afterLines="0"/>
    </w:pPr>
    <w:rPr>
      <w:rFonts w:ascii="宋体" w:eastAsia="宋体"/>
    </w:rPr>
  </w:style>
  <w:style w:type="character" w:customStyle="1" w:styleId="18">
    <w:name w:val="段 Char"/>
    <w:basedOn w:val="9"/>
    <w:qFormat/>
    <w:uiPriority w:val="0"/>
    <w:rPr>
      <w:rFonts w:hint="eastAsia" w:ascii="宋体" w:hAnsi="宋体" w:eastAsia="宋体" w:cs="宋体"/>
      <w:sz w:val="21"/>
    </w:rPr>
  </w:style>
  <w:style w:type="paragraph" w:customStyle="1" w:styleId="19">
    <w:name w:val="字母编号列项（一级）"/>
    <w:basedOn w:val="1"/>
    <w:qFormat/>
    <w:uiPriority w:val="0"/>
    <w:pPr>
      <w:widowControl/>
      <w:numPr>
        <w:ilvl w:val="0"/>
        <w:numId w:val="2"/>
      </w:numPr>
      <w:jc w:val="both"/>
    </w:pPr>
    <w:rPr>
      <w:rFonts w:hint="eastAsia" w:ascii="宋体"/>
      <w:sz w:val="21"/>
      <w:szCs w:val="20"/>
      <w:lang w:eastAsia="zh-CN"/>
    </w:rPr>
  </w:style>
  <w:style w:type="character" w:customStyle="1" w:styleId="20">
    <w:name w:val="日期 字符"/>
    <w:basedOn w:val="9"/>
    <w:link w:val="2"/>
    <w:qFormat/>
    <w:uiPriority w:val="0"/>
    <w:rPr>
      <w:sz w:val="24"/>
      <w:szCs w:val="24"/>
      <w:lang w:eastAsia="en-US"/>
    </w:rPr>
  </w:style>
  <w:style w:type="paragraph" w:customStyle="1" w:styleId="21">
    <w:name w:val="注："/>
    <w:next w:val="13"/>
    <w:qFormat/>
    <w:uiPriority w:val="0"/>
    <w:pPr>
      <w:widowControl w:val="0"/>
      <w:numPr>
        <w:ilvl w:val="0"/>
        <w:numId w:val="3"/>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2">
    <w:name w:val="注×："/>
    <w:qFormat/>
    <w:uiPriority w:val="0"/>
    <w:pPr>
      <w:widowControl w:val="0"/>
      <w:autoSpaceDE w:val="0"/>
      <w:autoSpaceDN w:val="0"/>
      <w:jc w:val="both"/>
    </w:pPr>
    <w:rPr>
      <w:rFonts w:ascii="宋体" w:hAnsi="Times New Roman" w:eastAsia="宋体" w:cs="Times New Roman"/>
      <w:sz w:val="18"/>
      <w:szCs w:val="18"/>
      <w:lang w:val="en-US" w:eastAsia="zh-CN" w:bidi="ar-SA"/>
    </w:rPr>
  </w:style>
  <w:style w:type="character" w:customStyle="1" w:styleId="23">
    <w:name w:val="批注框文本 字符"/>
    <w:basedOn w:val="9"/>
    <w:link w:val="3"/>
    <w:qFormat/>
    <w:uiPriority w:val="0"/>
    <w:rPr>
      <w:sz w:val="18"/>
      <w:szCs w:val="18"/>
      <w:lang w:eastAsia="en-US"/>
    </w:rPr>
  </w:style>
  <w:style w:type="paragraph" w:customStyle="1" w:styleId="24">
    <w:name w:val="章标题"/>
    <w:next w:val="13"/>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5">
    <w:name w:val="三级条标题"/>
    <w:basedOn w:val="15"/>
    <w:next w:val="13"/>
    <w:qFormat/>
    <w:uiPriority w:val="0"/>
    <w:pPr>
      <w:numPr>
        <w:ilvl w:val="0"/>
        <w:numId w:val="0"/>
      </w:numPr>
      <w:outlineLvl w:val="4"/>
    </w:pPr>
  </w:style>
  <w:style w:type="paragraph" w:customStyle="1" w:styleId="26">
    <w:name w:val="四级条标题"/>
    <w:basedOn w:val="25"/>
    <w:next w:val="13"/>
    <w:qFormat/>
    <w:uiPriority w:val="0"/>
    <w:pPr>
      <w:outlineLvl w:val="5"/>
    </w:pPr>
  </w:style>
  <w:style w:type="paragraph" w:customStyle="1" w:styleId="27">
    <w:name w:val="五级条标题"/>
    <w:basedOn w:val="26"/>
    <w:next w:val="13"/>
    <w:qFormat/>
    <w:uiPriority w:val="0"/>
    <w:pPr>
      <w:outlineLvl w:val="6"/>
    </w:pPr>
  </w:style>
  <w:style w:type="paragraph" w:styleId="28">
    <w:name w:val="List Paragraph"/>
    <w:basedOn w:val="1"/>
    <w:unhideWhenUsed/>
    <w:qFormat/>
    <w:uiPriority w:val="34"/>
    <w:pPr>
      <w:ind w:firstLine="420" w:firstLineChars="200"/>
    </w:pPr>
  </w:style>
  <w:style w:type="paragraph" w:customStyle="1" w:styleId="29">
    <w:name w:val="正文表标题"/>
    <w:next w:val="13"/>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30">
    <w:name w:val="正文图标题"/>
    <w:next w:val="13"/>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1">
    <w:name w:val="其他发布日期"/>
    <w:basedOn w:val="1"/>
    <w:qFormat/>
    <w:uiPriority w:val="0"/>
    <w:pPr>
      <w:framePr w:w="3997" w:h="471" w:hRule="exact" w:vSpace="181" w:wrap="around" w:vAnchor="page" w:hAnchor="page" w:x="1419" w:y="14097" w:anchorLock="1"/>
      <w:widowControl/>
      <w:numPr>
        <w:ilvl w:val="0"/>
        <w:numId w:val="5"/>
      </w:numPr>
      <w:autoSpaceDE/>
      <w:autoSpaceDN/>
    </w:pPr>
    <w:rPr>
      <w:rFonts w:eastAsia="黑体"/>
      <w:sz w:val="28"/>
      <w:szCs w:val="20"/>
      <w:lang w:eastAsia="zh-CN"/>
    </w:rPr>
  </w:style>
  <w:style w:type="character" w:customStyle="1" w:styleId="32">
    <w:name w:val="未处理的提及1"/>
    <w:basedOn w:val="9"/>
    <w:semiHidden/>
    <w:unhideWhenUsed/>
    <w:qFormat/>
    <w:uiPriority w:val="99"/>
    <w:rPr>
      <w:color w:val="605E5C"/>
      <w:shd w:val="clear" w:color="auto" w:fill="E1DFDD"/>
    </w:rPr>
  </w:style>
  <w:style w:type="character" w:customStyle="1" w:styleId="33">
    <w:name w:val="bjh-p"/>
    <w:basedOn w:val="9"/>
    <w:qFormat/>
    <w:uiPriority w:val="0"/>
  </w:style>
  <w:style w:type="character" w:customStyle="1" w:styleId="34">
    <w:name w:val="Unresolved Mention"/>
    <w:basedOn w:val="9"/>
    <w:semiHidden/>
    <w:unhideWhenUsed/>
    <w:qFormat/>
    <w:uiPriority w:val="99"/>
    <w:rPr>
      <w:color w:val="605E5C"/>
      <w:shd w:val="clear" w:color="auto" w:fill="E1DFDD"/>
    </w:rPr>
  </w:style>
  <w:style w:type="paragraph" w:customStyle="1" w:styleId="35">
    <w:name w:val="标准文件_段"/>
    <w:qFormat/>
    <w:uiPriority w:val="0"/>
    <w:pPr>
      <w:ind w:firstLine="198" w:firstLineChars="200"/>
      <w:jc w:val="both"/>
    </w:pPr>
    <w:rPr>
      <w:rFonts w:ascii="宋体" w:hAnsi="Times New Roman" w:eastAsia="宋体" w:cstheme="minorBidi"/>
      <w:sz w:val="21"/>
      <w:lang w:val="en-US" w:eastAsia="zh-CN" w:bidi="ar-SA"/>
    </w:rPr>
  </w:style>
  <w:style w:type="paragraph" w:customStyle="1" w:styleId="36">
    <w:name w:val="标准文件_二级无标题"/>
    <w:basedOn w:val="37"/>
    <w:qFormat/>
    <w:uiPriority w:val="0"/>
    <w:pPr>
      <w:spacing w:beforeLines="0" w:afterLines="0"/>
      <w:outlineLvl w:val="9"/>
    </w:pPr>
    <w:rPr>
      <w:rFonts w:ascii="宋体" w:hAnsi="宋体" w:eastAsia="宋体"/>
      <w:kern w:val="2"/>
      <w:szCs w:val="22"/>
    </w:rPr>
  </w:style>
  <w:style w:type="paragraph" w:customStyle="1" w:styleId="37">
    <w:name w:val="标准文件_二级条标题"/>
    <w:next w:val="35"/>
    <w:qFormat/>
    <w:uiPriority w:val="0"/>
    <w:pPr>
      <w:numPr>
        <w:ilvl w:val="2"/>
        <w:numId w:val="6"/>
      </w:numPr>
      <w:spacing w:beforeLines="50" w:afterLines="50"/>
      <w:jc w:val="both"/>
      <w:outlineLvl w:val="2"/>
    </w:pPr>
    <w:rPr>
      <w:rFonts w:ascii="黑体" w:hAnsi="黑体" w:eastAsia="黑体" w:cstheme="minorBidi"/>
      <w:sz w:val="21"/>
      <w:lang w:val="en-US" w:eastAsia="zh-CN" w:bidi="ar-SA"/>
    </w:rPr>
  </w:style>
  <w:style w:type="paragraph" w:customStyle="1" w:styleId="38">
    <w:name w:val="标准文件_字母编号列项（一级）"/>
    <w:next w:val="35"/>
    <w:qFormat/>
    <w:uiPriority w:val="0"/>
    <w:pPr>
      <w:numPr>
        <w:ilvl w:val="0"/>
        <w:numId w:val="7"/>
      </w:numPr>
      <w:jc w:val="both"/>
    </w:pPr>
    <w:rPr>
      <w:rFonts w:ascii="宋体" w:hAnsi="Times New Roman" w:eastAsia="宋体" w:cstheme="minorBidi"/>
      <w:sz w:val="21"/>
      <w:lang w:val="en-US" w:eastAsia="zh-CN" w:bidi="ar-SA"/>
    </w:rPr>
  </w:style>
  <w:style w:type="paragraph" w:customStyle="1" w:styleId="39">
    <w:name w:val="标准文件_一级条标题"/>
    <w:basedOn w:val="40"/>
    <w:next w:val="35"/>
    <w:qFormat/>
    <w:uiPriority w:val="0"/>
    <w:pPr>
      <w:numPr>
        <w:ilvl w:val="1"/>
      </w:numPr>
      <w:spacing w:beforeLines="50" w:afterLines="50"/>
      <w:outlineLvl w:val="1"/>
    </w:pPr>
  </w:style>
  <w:style w:type="paragraph" w:customStyle="1" w:styleId="40">
    <w:name w:val="标准文件_章标题"/>
    <w:next w:val="35"/>
    <w:qFormat/>
    <w:uiPriority w:val="0"/>
    <w:pPr>
      <w:numPr>
        <w:ilvl w:val="0"/>
        <w:numId w:val="6"/>
      </w:numPr>
      <w:spacing w:beforeLines="100" w:afterLines="100"/>
      <w:jc w:val="both"/>
      <w:outlineLvl w:val="0"/>
    </w:pPr>
    <w:rPr>
      <w:rFonts w:ascii="黑体" w:hAnsi="Times New Roman" w:eastAsia="黑体" w:cstheme="minorBidi"/>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市质量技术监督局</Company>
  <Pages>13</Pages>
  <Words>6119</Words>
  <Characters>6569</Characters>
  <Lines>44</Lines>
  <Paragraphs>12</Paragraphs>
  <TotalTime>4</TotalTime>
  <ScaleCrop>false</ScaleCrop>
  <LinksUpToDate>false</LinksUpToDate>
  <CharactersWithSpaces>6765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2021-12-14T09:22:00Z</dcterms:created>
  <dc:creator>Jeff-Z</dc:creator>
  <cp:lastModifiedBy>Administrator</cp:lastModifiedBy>
  <cp:lastPrinted>2024-04-25T10:29:00Z</cp:lastPrinted>
  <dcterms:modified xsi:type="dcterms:W3CDTF">2024-06-03T14:49:04Z</dcterms:modified>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A0122A55B21647F490EBBBC41329F89B</vt:lpwstr>
  </property>
</Properties>
</file>